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5F2" w:rsidRDefault="000C75F2"/>
    <w:p w:rsidR="000C75F2" w:rsidRDefault="000C75F2">
      <w:pPr>
        <w:rPr>
          <w:sz w:val="22"/>
          <w:szCs w:val="22"/>
        </w:rPr>
      </w:pPr>
    </w:p>
    <w:p w:rsidR="000C75F2" w:rsidRDefault="00000000">
      <w:r>
        <w:t>Kommunalunternehmen Coburger</w:t>
        <w:br/>
        <w:t>Entsorgungs- und Baubetrieb Anstalt des</w:t>
        <w:br/>
        <w:t>öffentlichen Rechts</w:t>
      </w:r>
    </w:p>
    <w:p w:rsidR="000C75F2" w:rsidRDefault="00000000">
      <w:r>
        <w:t>Bamberger Straße 2-6 </w:t>
      </w:r>
    </w:p>
    <w:p w:rsidR="000C75F2" w:rsidRDefault="000C75F2">
      <w:pPr>
        <w:rPr>
          <w:highlight w:val="yellow"/>
        </w:rPr>
      </w:pPr>
    </w:p>
    <w:p w:rsidR="000C75F2" w:rsidRDefault="00000000">
      <w:r>
        <w:t>96450  Coburg</w:t>
      </w:r>
    </w:p>
    <w:p w:rsidR="000C75F2" w:rsidRDefault="000C75F2"/>
    <w:p w:rsidR="000C75F2" w:rsidRDefault="000C75F2"/>
    <w:p w:rsidR="000C75F2" w:rsidRDefault="000C75F2"/>
    <w:p w:rsidR="000C75F2" w:rsidRDefault="000C75F2"/>
    <w:p w:rsidR="000C75F2" w:rsidRDefault="00000000">
      <w:pPr>
        <w:rPr>
          <w:b/>
          <w:color w:val="42A62A"/>
          <w:u w:val="single"/>
        </w:rPr>
      </w:pPr>
      <w:r>
        <w:rPr>
          <w:b/>
          <w:color w:val="42A62A"/>
          <w:sz w:val="28"/>
          <w:szCs w:val="28"/>
          <w:u w:val="single"/>
        </w:rPr>
        <w:t>Analysebericht: Real-Time qPCR-Quantifizierung Nitrifikanten</w:t>
      </w:r>
      <w:r>
        <w:rPr>
          <w:b/>
          <w:color w:val="42A62A"/>
          <w:u w:val="single"/>
        </w:rPr>
        <w:t xml:space="preserve"> </w:t>
      </w:r>
    </w:p>
    <w:p w:rsidR="000C75F2" w:rsidRDefault="000C75F2">
      <w:pPr>
        <w:rPr>
          <w:b/>
          <w:color w:val="42A62A"/>
          <w:u w:val="single"/>
        </w:rPr>
      </w:pPr>
    </w:p>
    <w:p w:rsidR="000C75F2" w:rsidRDefault="000C75F2">
      <w:pPr>
        <w:rPr>
          <w:b/>
          <w:color w:val="42A62A"/>
          <w:u w:val="single"/>
        </w:rPr>
      </w:pPr>
    </w:p>
    <w:p w:rsidR="000C75F2" w:rsidRDefault="00000000">
      <w:pPr>
        <w:rPr>
          <w:b/>
          <w:color w:val="42A62A"/>
        </w:rPr>
      </w:pPr>
      <w:r>
        <w:rPr>
          <w:b/>
        </w:rPr>
        <w:t>Befundnummer:</w:t>
      </w:r>
      <w:r>
        <w:rPr>
          <w:b/>
          <w:color w:val="3CA321"/>
        </w:rPr>
        <w:t xml:space="preserve"> </w:t>
      </w:r>
      <w:r>
        <w:rPr>
          <w:b/>
          <w:color w:val="3CA321"/>
          <w:u w:val="single"/>
        </w:rPr>
        <w:t>B251203001.NT</w:t>
      </w:r>
      <w:r>
        <w:rPr>
          <w:b/>
          <w:color w:val="42A62A"/>
        </w:rPr>
        <w:tab/>
      </w:r>
    </w:p>
    <w:p w:rsidR="000C75F2" w:rsidRDefault="00000000">
      <w:pPr>
        <w:rPr>
          <w:b/>
          <w:color w:val="42A62A"/>
        </w:rPr>
      </w:pPr>
      <w:r>
        <w:rPr>
          <w:b/>
        </w:rPr>
        <w:t>Probennummer:</w:t>
      </w:r>
      <w:r>
        <w:rPr>
          <w:b/>
          <w:color w:val="42A62A"/>
        </w:rPr>
        <w:t xml:space="preserve"> </w:t>
      </w:r>
      <w:r>
        <w:rPr>
          <w:rFonts w:eastAsia="Arial" w:cs="Arial"/>
          <w:b/>
          <w:bCs/>
          <w:color w:val="3CA321"/>
        </w:rPr>
        <w:t>D251203001</w:t>
      </w:r>
    </w:p>
    <w:p w:rsidR="000C75F2" w:rsidRDefault="000C75F2">
      <w:pPr>
        <w:rPr>
          <w:b/>
          <w:color w:val="42A62A"/>
          <w:u w:val="single"/>
        </w:rPr>
      </w:pPr>
    </w:p>
    <w:p w:rsidR="000C75F2" w:rsidRDefault="000C75F2"/>
    <w:p w:rsidR="000C75F2" w:rsidRDefault="000C75F2"/>
    <w:p w:rsidR="000C75F2" w:rsidRDefault="00000000">
      <w:pPr>
        <w:rPr>
          <w:b/>
        </w:rPr>
      </w:pPr>
      <w:r>
        <w:rPr>
          <w:b/>
        </w:rPr>
        <w:t>Kunden- und Probenkennziffer:</w:t>
      </w:r>
    </w:p>
    <w:p w:rsidR="000C75F2" w:rsidRDefault="000C75F2">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Entwurf</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03.12.2025</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Nitrifikation 1+2</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02.12.2025</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0C75F2" w:rsidRDefault="000C75F2">
      <w:pPr>
        <w:rPr>
          <w:b/>
        </w:rPr>
      </w:pPr>
    </w:p>
    <w:p w:rsidR="000C75F2" w:rsidRDefault="00000000">
      <w:pPr>
        <w:rPr>
          <w:b/>
        </w:rPr>
      </w:pPr>
      <w:r>
        <w:rPr>
          <w:b/>
        </w:rPr>
        <w:t>Kundenmessdaten (Probe):</w:t>
      </w:r>
    </w:p>
    <w:p w:rsidR="000C75F2" w:rsidRDefault="000C75F2"/>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jc w:val="both"/>
              <w:rPr>
                <w:rFonts w:ascii="Calibri" w:hAnsi="Calibri"/>
                <w:b/>
                <w:sz w:val="20"/>
                <w:szCs w:val="20"/>
              </w:rPr>
            </w:pPr>
            <w:r>
              <w:rPr>
                <w:rFonts w:eastAsia="Arial" w:cs="Arial"/>
                <w:color w:val="000000" w:themeColor="text1"/>
                <w:sz w:val="20"/>
                <w:szCs w:val="20"/>
              </w:rPr>
              <w:t>14,6</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
                <w:sz w:val="20"/>
                <w:szCs w:val="20"/>
              </w:rPr>
            </w:pPr>
            <w:r>
              <w:rPr>
                <w:rFonts w:eastAsia="Arial" w:cs="Arial"/>
                <w:color w:val="000000" w:themeColor="text1"/>
                <w:sz w:val="20"/>
                <w:szCs w:val="20"/>
              </w:rPr>
              <w:t>152</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3,15</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0,040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Cs/>
                <w:sz w:val="20"/>
                <w:szCs w:val="20"/>
              </w:rPr>
            </w:pPr>
            <w:r>
              <w:rPr>
                <w:rFonts w:eastAsia="Arial" w:cs="Arial"/>
                <w:color w:val="000000" w:themeColor="text1"/>
                <w:sz w:val="20"/>
                <w:szCs w:val="20"/>
              </w:rPr>
              <w:t>0,020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color w:val="000000" w:themeColor="text1"/>
                <w:sz w:val="20"/>
                <w:szCs w:val="20"/>
              </w:rPr>
              <w:t>480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6,400</w:t>
            </w:r>
          </w:p>
        </w:tc>
      </w:tr>
    </w:tbl>
    <w:p w:rsidR="000C75F2" w:rsidRDefault="000C75F2"/>
    <w:p w:rsidR="000C75F2" w:rsidRDefault="00000000">
      <w:pPr>
        <w:rPr>
          <w:b/>
        </w:rPr>
      </w:pPr>
      <w:r>
        <w:rPr>
          <w:b/>
        </w:rPr>
        <w:t xml:space="preserve"> </w:t>
      </w:r>
    </w:p>
    <w:p w:rsidR="000C75F2" w:rsidRDefault="00000000">
      <w:pPr>
        <w:rPr>
          <w:b/>
          <w:bCs/>
          <w:color w:val="7F7F7F" w:themeColor="text1" w:themeTint="80"/>
          <w:sz w:val="20"/>
          <w:szCs w:val="20"/>
        </w:rPr>
      </w:pPr>
      <w:r>
        <w:rPr>
          <w:b/>
          <w:bCs/>
          <w:color w:val="7F7F7F" w:themeColor="text1" w:themeTint="80"/>
          <w:sz w:val="20"/>
          <w:szCs w:val="20"/>
        </w:rPr>
        <w:t>Abkürzungen/Erklärungen:</w:t>
      </w:r>
    </w:p>
    <w:p w:rsidR="000C75F2" w:rsidRDefault="000C75F2">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6"/>
        <w:gridCol w:w="7346"/>
      </w:tblGrid>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AOB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Nitrotoga</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Gesamt</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Zellzahlen aller gemessenen Nitrit oxidierenden Bakterien</w:t>
            </w:r>
            <w:r>
              <w:rPr>
                <w:rFonts w:eastAsia="Arial" w:cs="Arial"/>
                <w:color w:val="7F7F7F" w:themeColor="text1" w:themeTint="80"/>
                <w:sz w:val="15"/>
                <w:szCs w:val="15"/>
              </w:rPr>
              <w:tab/>
            </w:r>
          </w:p>
        </w:tc>
      </w:tr>
      <w:tr w:rsidR="000C75F2">
        <w:tc>
          <w:tcPr>
            <w:tcW w:w="9652" w:type="dxa"/>
            <w:gridSpan w:val="2"/>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596B4B" w:rsidRPr="00596B4B">
              <w:rPr>
                <w:rFonts w:eastAsia="Arial" w:cs="Arial"/>
                <w:b/>
                <w:bCs/>
                <w:color w:val="92D050"/>
                <w:sz w:val="16"/>
                <w:szCs w:val="16"/>
              </w:rPr>
              <w:t>:</w:t>
            </w:r>
          </w:p>
          <w:p w:rsidR="000C75F2"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0C75F2" w:rsidRDefault="00000000">
      <w:pPr>
        <w:rPr>
          <w:color w:val="7F7F7F" w:themeColor="text1" w:themeTint="80"/>
          <w:sz w:val="15"/>
          <w:szCs w:val="15"/>
        </w:rPr>
      </w:pPr>
      <w:r>
        <w:br w:type="page" w:clear="all"/>
      </w:r>
    </w:p>
    <w:p w:rsidR="000C75F2" w:rsidRDefault="00000000">
      <w:pPr>
        <w:rPr>
          <w:b/>
          <w:sz w:val="28"/>
          <w:szCs w:val="28"/>
        </w:rPr>
      </w:pPr>
      <w:r>
        <w:rPr>
          <w:b/>
          <w:sz w:val="28"/>
          <w:szCs w:val="28"/>
        </w:rPr>
        <w:lastRenderedPageBreak/>
        <w:t>Ergebnisse:</w:t>
      </w:r>
    </w:p>
    <w:p w:rsidR="000C75F2" w:rsidRDefault="000C75F2">
      <w:pPr>
        <w:rPr>
          <w:b/>
        </w:rPr>
      </w:pPr>
    </w:p>
    <w:tbl>
      <w:tblPr>
        <w:tblStyle w:val="Tabellenraster"/>
        <w:tblW w:w="10065" w:type="dxa"/>
        <w:tblInd w:w="108"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firstRow="1" w:lastRow="0" w:firstColumn="1" w:lastColumn="0" w:noHBand="0" w:noVBand="1"/>
      </w:tblPr>
      <w:tblGrid>
        <w:gridCol w:w="1839"/>
        <w:gridCol w:w="2019"/>
        <w:gridCol w:w="1689"/>
        <w:gridCol w:w="1433"/>
        <w:gridCol w:w="1559"/>
        <w:gridCol w:w="1526"/>
      </w:tblGrid>
      <w:tr w:rsidR="000C75F2" w:rsidTr="008F3216">
        <w:tc>
          <w:tcPr>
            <w:tcW w:w="1839" w:type="dxa"/>
          </w:tcPr>
          <w:p w:rsidR="000C75F2" w:rsidRDefault="00000000">
            <w:pPr>
              <w:rPr>
                <w:b/>
                <w:bCs/>
              </w:rPr>
            </w:pPr>
            <w:r>
              <w:rPr>
                <w:rFonts w:eastAsia="Arial" w:cs="Arial"/>
                <w:b/>
                <w:bCs/>
                <w:sz w:val="20"/>
                <w:szCs w:val="20"/>
              </w:rPr>
              <w:t>Probennummer:</w:t>
            </w:r>
          </w:p>
        </w:tc>
        <w:tc>
          <w:tcPr>
            <w:tcW w:w="2019" w:type="dxa"/>
            <w:tcBorders>
              <w:right w:val="single" w:sz="4" w:space="0" w:color="7F7F7F"/>
            </w:tcBorders>
          </w:tcPr>
          <w:p w:rsidR="000C75F2" w:rsidRDefault="00000000">
            <w:pPr>
              <w:rPr>
                <w:b/>
                <w:bCs/>
                <w:color w:val="42A62A"/>
                <w:sz w:val="20"/>
                <w:szCs w:val="20"/>
              </w:rPr>
            </w:pPr>
            <w:r>
              <w:rPr>
                <w:rFonts w:eastAsia="Arial" w:cs="Arial"/>
                <w:b/>
                <w:bCs/>
                <w:color w:val="42A62A"/>
                <w:sz w:val="20"/>
                <w:szCs w:val="20"/>
              </w:rPr>
              <w:t>D251203001</w:t>
            </w:r>
          </w:p>
        </w:tc>
        <w:tc>
          <w:tcPr>
            <w:tcW w:w="1689" w:type="dxa"/>
            <w:tcBorders>
              <w:top w:val="nil"/>
              <w:left w:val="single" w:sz="4" w:space="0" w:color="7F7F7F"/>
              <w:bottom w:val="single" w:sz="4" w:space="0" w:color="7F7F7F"/>
              <w:right w:val="nil"/>
            </w:tcBorders>
          </w:tcPr>
          <w:p w:rsidR="000C75F2" w:rsidRDefault="000C75F2">
            <w:pPr>
              <w:rPr>
                <w:rFonts w:ascii="Calibri" w:eastAsia="Arial" w:hAnsi="Calibri" w:cs="Arial"/>
              </w:rPr>
            </w:pPr>
          </w:p>
        </w:tc>
        <w:tc>
          <w:tcPr>
            <w:tcW w:w="1433" w:type="dxa"/>
            <w:tcBorders>
              <w:top w:val="nil"/>
              <w:left w:val="nil"/>
              <w:bottom w:val="single" w:sz="4" w:space="0" w:color="7F7F7F"/>
              <w:right w:val="nil"/>
            </w:tcBorders>
          </w:tcPr>
          <w:p w:rsidR="000C75F2" w:rsidRDefault="000C75F2">
            <w:pPr>
              <w:rPr>
                <w:rFonts w:ascii="Calibri" w:eastAsia="Arial" w:hAnsi="Calibri" w:cs="Arial"/>
              </w:rPr>
            </w:pPr>
          </w:p>
        </w:tc>
        <w:tc>
          <w:tcPr>
            <w:tcW w:w="1559" w:type="dxa"/>
            <w:tcBorders>
              <w:top w:val="nil"/>
              <w:left w:val="nil"/>
              <w:bottom w:val="single" w:sz="4" w:space="0" w:color="7F7F7F"/>
              <w:right w:val="nil"/>
            </w:tcBorders>
          </w:tcPr>
          <w:p w:rsidR="000C75F2" w:rsidRDefault="000C75F2">
            <w:pPr>
              <w:rPr>
                <w:rFonts w:ascii="Calibri" w:eastAsia="Arial" w:hAnsi="Calibri" w:cs="Arial"/>
              </w:rPr>
            </w:pPr>
          </w:p>
        </w:tc>
        <w:tc>
          <w:tcPr>
            <w:tcW w:w="1526" w:type="dxa"/>
            <w:tcBorders>
              <w:top w:val="nil"/>
              <w:left w:val="nil"/>
              <w:bottom w:val="single" w:sz="4" w:space="0" w:color="7F7F7F"/>
              <w:right w:val="nil"/>
            </w:tcBorders>
          </w:tcPr>
          <w:p w:rsidR="000C75F2" w:rsidRDefault="000C75F2">
            <w:pPr>
              <w:rPr>
                <w:rFonts w:ascii="Calibri" w:eastAsia="Arial" w:hAnsi="Calibri" w:cs="Arial"/>
              </w:rPr>
            </w:pPr>
          </w:p>
        </w:tc>
      </w:tr>
      <w:tr w:rsidR="000C75F2" w:rsidTr="008F3216">
        <w:tc>
          <w:tcPr>
            <w:tcW w:w="1839" w:type="dxa"/>
          </w:tcPr>
          <w:p w:rsidR="000C75F2" w:rsidRDefault="00000000">
            <w:pPr>
              <w:rPr>
                <w:b/>
                <w:sz w:val="18"/>
                <w:szCs w:val="18"/>
              </w:rPr>
            </w:pPr>
            <w:r>
              <w:rPr>
                <w:rFonts w:eastAsia="Arial" w:cs="Arial"/>
                <w:b/>
                <w:sz w:val="18"/>
                <w:szCs w:val="18"/>
              </w:rPr>
              <w:t>Bakteriengruppe</w:t>
            </w:r>
          </w:p>
        </w:tc>
        <w:tc>
          <w:tcPr>
            <w:tcW w:w="2019" w:type="dxa"/>
          </w:tcPr>
          <w:p w:rsidR="000C75F2" w:rsidRDefault="00040C3B">
            <w:pPr>
              <w:jc w:val="center"/>
              <w:rPr>
                <w:b/>
                <w:sz w:val="18"/>
                <w:szCs w:val="18"/>
              </w:rPr>
            </w:pPr>
            <w:r>
              <w:rPr>
                <w:rFonts w:eastAsia="Arial" w:cs="Arial"/>
                <w:b/>
                <w:sz w:val="18"/>
                <w:szCs w:val="18"/>
              </w:rPr>
              <w:t xml:space="preserve">Gesamtzellzahl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689" w:type="dxa"/>
            <w:tcBorders>
              <w:top w:val="single" w:sz="4" w:space="0" w:color="7F7F7F"/>
            </w:tcBorders>
          </w:tcPr>
          <w:p w:rsidR="000C75F2" w:rsidRDefault="00040C3B">
            <w:pPr>
              <w:jc w:val="center"/>
              <w:rPr>
                <w:b/>
                <w:sz w:val="18"/>
                <w:szCs w:val="18"/>
              </w:rPr>
            </w:pPr>
            <w:r>
              <w:rPr>
                <w:rFonts w:eastAsia="Arial" w:cs="Arial"/>
                <w:b/>
                <w:sz w:val="18"/>
                <w:szCs w:val="18"/>
              </w:rPr>
              <w:t xml:space="preserve">Lebendzellzahl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433" w:type="dxa"/>
            <w:tcBorders>
              <w:top w:val="single" w:sz="4" w:space="0" w:color="7F7F7F"/>
            </w:tcBorders>
          </w:tcPr>
          <w:p w:rsidR="00040C3B" w:rsidRDefault="00040C3B" w:rsidP="00040C3B">
            <w:pPr>
              <w:jc w:val="center"/>
              <w:rPr>
                <w:b/>
                <w:sz w:val="18"/>
                <w:szCs w:val="18"/>
              </w:rPr>
            </w:pPr>
            <w:r>
              <w:rPr>
                <w:rFonts w:eastAsia="Arial" w:cs="Arial"/>
                <w:b/>
                <w:sz w:val="18"/>
                <w:szCs w:val="18"/>
              </w:rPr>
              <w:t xml:space="preserve">Lebendzellzahl </w:t>
            </w:r>
          </w:p>
          <w:p w:rsidR="000C75F2" w:rsidRDefault="00040C3B" w:rsidP="00040C3B">
            <w:pPr>
              <w:jc w:val="center"/>
              <w:rPr>
                <w:b/>
                <w:sz w:val="18"/>
                <w:szCs w:val="18"/>
              </w:rPr>
            </w:pPr>
            <w:r>
              <w:rPr>
                <w:rFonts w:eastAsia="Arial" w:cs="Arial"/>
                <w:b/>
                <w:sz w:val="18"/>
                <w:szCs w:val="18"/>
              </w:rPr>
              <w:t>(%)</w:t>
            </w:r>
          </w:p>
        </w:tc>
        <w:tc>
          <w:tcPr>
            <w:tcW w:w="1559"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hAnsi="Calibri" w:cs="Calibri"/>
                <w:b/>
                <w:bCs/>
                <w:sz w:val="18"/>
                <w:szCs w:val="18"/>
              </w:rPr>
              <w:t>Verhältnis Nitrotoga/NOB</w:t>
            </w:r>
          </w:p>
        </w:tc>
        <w:tc>
          <w:tcPr>
            <w:tcW w:w="1526"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eastAsia="Arial" w:hAnsi="Calibri" w:cs="Calibri"/>
                <w:b/>
                <w:bCs/>
                <w:sz w:val="18"/>
                <w:szCs w:val="18"/>
              </w:rPr>
              <w:t>Verhältnis NOB gesamt / AOB</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AOB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12,93</w:t>
            </w:r>
          </w:p>
        </w:tc>
        <w:tc>
          <w:tcPr>
            <w:tcW w:w="1689" w:type="dxa"/>
          </w:tcPr>
          <w:p w:rsidR="000C75F2" w:rsidRDefault="00000000">
            <w:pPr>
              <w:jc w:val="center"/>
            </w:pPr>
            <w:r>
              <w:rPr>
                <w:rFonts w:eastAsia="Arial" w:cs="Arial"/>
                <w:color w:val="42A62A"/>
                <w:sz w:val="20"/>
                <w:szCs w:val="20"/>
              </w:rPr>
              <w:t>10,70</w:t>
            </w:r>
          </w:p>
        </w:tc>
        <w:tc>
          <w:tcPr>
            <w:tcW w:w="1433" w:type="dxa"/>
          </w:tcPr>
          <w:p w:rsidR="000C75F2" w:rsidRDefault="00000000">
            <w:pPr>
              <w:jc w:val="center"/>
            </w:pPr>
            <w:r>
              <w:rPr>
                <w:rFonts w:eastAsia="Arial" w:cs="Arial"/>
                <w:color w:val="42A62A"/>
                <w:sz w:val="20"/>
                <w:szCs w:val="20"/>
              </w:rPr>
              <w:t>82,70</w:t>
            </w:r>
          </w:p>
        </w:tc>
        <w:tc>
          <w:tcPr>
            <w:tcW w:w="1559" w:type="dxa"/>
          </w:tcPr>
          <w:p w:rsidR="000C75F2" w:rsidRDefault="00000000">
            <w:pPr>
              <w:jc w:val="center"/>
              <w:rPr>
                <w:rFonts w:eastAsia="Arial" w:cs="Arial"/>
                <w:sz w:val="20"/>
                <w:szCs w:val="20"/>
              </w:rPr>
            </w:pPr>
            <w:r>
              <w:rPr>
                <w:rFonts w:eastAsia="Arial" w:cs="Arial"/>
                <w:sz w:val="20"/>
                <w:szCs w:val="20"/>
              </w:rPr>
              <w:t>0,000</w:t>
            </w:r>
          </w:p>
        </w:tc>
        <w:tc>
          <w:tcPr>
            <w:tcW w:w="1526" w:type="dxa"/>
          </w:tcPr>
          <w:p w:rsidR="000C75F2" w:rsidRDefault="00000000">
            <w:pPr>
              <w:jc w:val="center"/>
              <w:rPr>
                <w:rFonts w:eastAsia="Arial" w:cs="Arial"/>
                <w:sz w:val="20"/>
                <w:szCs w:val="20"/>
              </w:rPr>
            </w:pPr>
            <w:r>
              <w:rPr>
                <w:rFonts w:eastAsia="Arial" w:cs="Arial"/>
                <w:sz w:val="20"/>
                <w:szCs w:val="20"/>
              </w:rPr>
              <w:t>1,215</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17,84</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80,80</w:t>
            </w:r>
          </w:p>
        </w:tc>
        <w:tc>
          <w:tcPr>
            <w:tcW w:w="1559"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c>
          <w:tcPr>
            <w:tcW w:w="1526"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1,347</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Nitrotoga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15,72</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91,70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Nitrifikanten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15,72</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91,70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bl>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00000">
      <w:pPr>
        <w:pStyle w:val="berschrift1"/>
        <w:rPr>
          <w:color w:val="42A62A"/>
        </w:rPr>
      </w:pPr>
      <w:r>
        <w:rPr>
          <w:color w:val="42A62A"/>
          <w:sz w:val="22"/>
        </w:rPr>
        <w:t>Anhang:</w:t>
      </w:r>
    </w:p>
    <w:p w:rsidR="000C75F2" w:rsidRDefault="00000000">
      <w:pPr>
        <w:rPr>
          <w:sz w:val="22"/>
          <w:szCs w:val="22"/>
        </w:rPr>
      </w:pPr>
      <w:r>
        <w:rPr>
          <w:sz w:val="22"/>
        </w:rPr>
        <w:t/>
        <w:pict>
          <v:shape type="#_x0000_t75" style="width:645px;height:296.7px" stroked="f" filled="f">
            <v:imagedata r:id="rId15" o:title=""/>
          </v:shape>
        </w:pict>
        <w:t/>
      </w:r>
    </w:p>
    <w:p w:rsidR="000C75F2" w:rsidRDefault="000C75F2">
      <w:pPr>
        <w:rPr>
          <w:sz w:val="22"/>
          <w:szCs w:val="22"/>
        </w:rPr>
      </w:pPr>
    </w:p>
    <w:p w:rsidR="000C75F2" w:rsidRDefault="00000000">
      <w:pPr>
        <w:rPr>
          <w:sz w:val="22"/>
          <w:szCs w:val="22"/>
        </w:rPr>
      </w:pPr>
      <w:r>
        <w:rPr>
          <w:sz w:val="22"/>
        </w:rPr>
        <w:t/>
        <w:pict>
          <v:shape type="#_x0000_t75" style="width:645px;height:296.7px" stroked="f" filled="f">
            <v:imagedata r:id="rId16" o:title=""/>
          </v:shape>
        </w:pict>
        <w:t/>
      </w:r>
    </w:p>
    <w:p w:rsidR="000C75F2" w:rsidRDefault="00000000">
      <w:pPr>
        <w:rPr>
          <w:sz w:val="22"/>
          <w:szCs w:val="22"/>
          <w:lang w:val="en-US"/>
        </w:rPr>
      </w:pPr>
      <w:r>
        <w:br w:type="page" w:clear="all"/>
      </w:r>
    </w:p>
    <w:p w:rsidR="000C75F2"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zur letzten Analyse zeigen die AOB erhöhte, die NOB gesunkene Zellzahlen – bei leicht reduziertem Trockensubstanzgehalt. Da der NOB-Rückgang stärker ausfällt als die TS-Abnahme, liegt eine reale Reduktion der NOB vor. Die AOB weisen dagegen steigende Lebendzellzahlen auf, was auf ein leichtes Wachstum hindeutet. Der Anteil lebender Zellen ist bei beiden Gruppen nur geringfügig reduziert und spricht für eine weiterhin stabile Vitalität. Die gegensätzliche Zellentwicklung zeigt jedoch, dass die aktuellen Prozessbedingungen die AOB selektiv begünstigen, während die NOB in ihrem Wachstum limitiert werden – z.B. durch veränderte Sauerstoffverteilung oder Temperatur- bzw. Lastschwankungen. Insgesamt ist bei den AOB von einer leicht erhöhten, bei den NOB von einer reduzierten Oxidationskapazität auszugehen. Die unveränderten Ablaufwerte zeigen, dass die vorhandenen NOB-Zellzahlen dennoch ausreichen, um die Nitritfracht effektiv abzubauen. Das gesunkene Verhältnis von lebenden NOB zu AOB bestätigt die Zunahme der AOB in der Belebung. Das ermittelte NOB/AOB Verhältnis liegt laut Literaturangaben (Ratio (Literatur) NOB/AOB 0,3 - 5,9) im normalen Bereich für einen stabilen Nitrifikationsprozess. </w:t>
      </w:r>
    </w:p>
    <w:p w:rsidR="000C75F2" w:rsidRDefault="000C75F2">
      <w:pPr>
        <w:rPr>
          <w:i/>
          <w:color w:val="7F7F7F" w:themeColor="text1" w:themeTint="80"/>
          <w:sz w:val="22"/>
          <w:szCs w:val="22"/>
        </w:rPr>
      </w:pPr>
    </w:p>
    <w:p w:rsidR="000C75F2" w:rsidRDefault="00000000">
      <w:pPr>
        <w:rPr>
          <w:sz w:val="22"/>
          <w:szCs w:val="22"/>
        </w:rPr>
      </w:pPr>
      <w:r>
        <w:rPr>
          <w:sz w:val="22"/>
          <w:szCs w:val="22"/>
        </w:rPr>
        <w:t>Analyse durchgeführt von:  Dr. Thomas Benkert</w:t>
      </w:r>
      <w:r>
        <w:rPr>
          <w:sz w:val="22"/>
          <w:szCs w:val="22"/>
        </w:rPr>
        <w:tab/>
        <w:t xml:space="preserve"> </w:t>
      </w:r>
    </w:p>
    <w:p w:rsidR="000C75F2" w:rsidRDefault="00000000">
      <w:r>
        <w:rPr>
          <w:sz w:val="22"/>
          <w:szCs w:val="22"/>
        </w:rPr>
        <w:t>Analysedaten geprüft von:  Dr. Thomas Benkert</w:t>
      </w:r>
      <w:r>
        <w:tab/>
        <w:t xml:space="preserve"> </w:t>
      </w:r>
    </w:p>
    <w:p w:rsidR="000C75F2" w:rsidRDefault="000C75F2">
      <w:pPr>
        <w:rPr>
          <w:sz w:val="22"/>
        </w:rPr>
      </w:pPr>
    </w:p>
    <w:p w:rsidR="000C75F2" w:rsidRDefault="000C75F2">
      <w:pPr>
        <w:rPr>
          <w:sz w:val="22"/>
        </w:rPr>
      </w:pPr>
    </w:p>
    <w:p w:rsidR="000C75F2" w:rsidRDefault="000C75F2">
      <w:pPr>
        <w:rPr>
          <w:sz w:val="22"/>
          <w:szCs w:val="22"/>
          <w:lang w:val="en-US"/>
        </w:rPr>
      </w:pPr>
    </w:p>
    <w:sectPr w:rsidR="000C75F2">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A0F" w:rsidRDefault="00781A0F">
      <w:r>
        <w:separator/>
      </w:r>
    </w:p>
  </w:endnote>
  <w:endnote w:type="continuationSeparator" w:id="0">
    <w:p w:rsidR="00781A0F" w:rsidRDefault="007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Mono">
    <w:altName w:val="Calibri"/>
    <w:panose1 w:val="020B0604020202020204"/>
    <w:charset w:val="00"/>
    <w:family w:val="auto"/>
    <w:pitch w:val="default"/>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Bankverbindung</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VR Bank Schweinfurt</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BIC: GENODEF1ATE</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0C75F2" w:rsidRDefault="000C7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A0F" w:rsidRDefault="00781A0F">
      <w:r>
        <w:separator/>
      </w:r>
    </w:p>
  </w:footnote>
  <w:footnote w:type="continuationSeparator" w:id="0">
    <w:p w:rsidR="00781A0F" w:rsidRDefault="007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0C75F2"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0C75F2" w:rsidRDefault="00000000">
    <w:pPr>
      <w:pStyle w:val="Kopfzeile"/>
      <w:rPr>
        <w:color w:val="42A62A"/>
        <w:sz w:val="22"/>
      </w:rPr>
    </w:pPr>
    <w:r>
      <w:rPr>
        <w:color w:val="42A62A"/>
        <w:sz w:val="22"/>
      </w:rPr>
      <w:t xml:space="preserve">97422 Schweinfurt </w:t>
    </w:r>
  </w:p>
  <w:p w:rsidR="000C75F2"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F2"/>
    <w:rsid w:val="00040C3B"/>
    <w:rsid w:val="000C75F2"/>
    <w:rsid w:val="00302808"/>
    <w:rsid w:val="003A4263"/>
    <w:rsid w:val="00596B4B"/>
    <w:rsid w:val="005D1E73"/>
    <w:rsid w:val="00781A0F"/>
    <w:rsid w:val="008F3216"/>
    <w:rsid w:val="009E6CF4"/>
    <w:rsid w:val="00AA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9F6F0-911C-A242-AB6E-268E4702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EndnoteCharactersuser">
    <w:name w:val="Endnote Characters (user)"/>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Liberation Mono" w:hAnsi="Liberation Mono" w:cs="Liberation Mono"/>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1312</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46</cp:revision>
  <dcterms:created xsi:type="dcterms:W3CDTF">2025-10-13T15:57:00Z</dcterms:created>
  <dcterms:modified xsi:type="dcterms:W3CDTF">2025-12-08T11:05:00Z</dcterms:modified>
  <dc:language>en-US</dc:language>
</cp:coreProperties>
</file>