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2C9" w:rsidRDefault="00E572C9"/>
    <w:p w:rsidR="00E572C9" w:rsidRDefault="00E572C9">
      <w:pPr>
        <w:rPr>
          <w:sz w:val="22"/>
          <w:szCs w:val="22"/>
        </w:rPr>
      </w:pPr>
    </w:p>
    <w:p w:rsidR="00E572C9" w:rsidRDefault="00000000">
      <w:r>
        <w:t>STADT BAD KISSINGEN </w:t>
      </w:r>
    </w:p>
    <w:p w:rsidR="00E572C9" w:rsidRDefault="00000000">
      <w:r>
        <w:t>Im Lindes 11</w:t>
      </w:r>
    </w:p>
    <w:p w:rsidR="00E572C9" w:rsidRDefault="00E572C9">
      <w:pPr>
        <w:rPr>
          <w:highlight w:val="yellow"/>
        </w:rPr>
      </w:pPr>
    </w:p>
    <w:p w:rsidR="00E572C9" w:rsidRDefault="00000000">
      <w:r>
        <w:t>97688  Bad Kissingen</w:t>
      </w:r>
    </w:p>
    <w:p w:rsidR="00E572C9" w:rsidRDefault="00E572C9"/>
    <w:p w:rsidR="00E572C9" w:rsidRDefault="00E572C9"/>
    <w:p w:rsidR="00E572C9" w:rsidRDefault="00E572C9"/>
    <w:p w:rsidR="00E572C9" w:rsidRDefault="00E572C9"/>
    <w:p w:rsidR="00E572C9" w:rsidRDefault="00000000">
      <w:pPr>
        <w:rPr>
          <w:b/>
          <w:color w:val="42A62A"/>
          <w:u w:val="single"/>
        </w:rPr>
      </w:pPr>
      <w:r>
        <w:rPr>
          <w:b/>
          <w:color w:val="42A62A"/>
          <w:sz w:val="28"/>
          <w:szCs w:val="28"/>
          <w:u w:val="single"/>
        </w:rPr>
        <w:t>Analysebericht: Real-Time qPCR-Quantifizieru</w:t>
      </w:r>
      <w:r w:rsidRPr="00DD7BFF">
        <w:rPr>
          <w:b/>
          <w:color w:val="3CA321"/>
          <w:sz w:val="28"/>
          <w:szCs w:val="28"/>
          <w:u w:val="single"/>
        </w:rPr>
        <w:t xml:space="preserve">ng </w:t>
      </w:r>
      <w:r>
        <w:rPr>
          <w:b/>
          <w:color w:val="42A62A"/>
          <w:sz w:val="28"/>
          <w:szCs w:val="28"/>
          <w:u w:val="single"/>
        </w:rPr>
        <w:t>Microthrix parvicella</w:t>
      </w:r>
      <w:r>
        <w:rPr>
          <w:b/>
          <w:color w:val="42A62A"/>
          <w:u w:val="single"/>
        </w:rPr>
        <w:t xml:space="preserve"> </w:t>
      </w:r>
    </w:p>
    <w:p w:rsidR="00E572C9" w:rsidRDefault="00E572C9">
      <w:pPr>
        <w:rPr>
          <w:b/>
          <w:color w:val="42A62A"/>
          <w:u w:val="single"/>
        </w:rPr>
      </w:pPr>
    </w:p>
    <w:p w:rsidR="00E572C9" w:rsidRDefault="00E572C9">
      <w:pPr>
        <w:rPr>
          <w:b/>
          <w:color w:val="42A62A"/>
          <w:u w:val="single"/>
        </w:rPr>
      </w:pPr>
    </w:p>
    <w:p w:rsidR="00E572C9" w:rsidRDefault="00000000">
      <w:pPr>
        <w:rPr>
          <w:b/>
          <w:color w:val="42A62A"/>
        </w:rPr>
      </w:pPr>
      <w:r>
        <w:rPr>
          <w:b/>
        </w:rPr>
        <w:t>Befundnummer:</w:t>
      </w:r>
      <w:r>
        <w:rPr>
          <w:b/>
          <w:color w:val="3CA321"/>
        </w:rPr>
        <w:t xml:space="preserve"> </w:t>
      </w:r>
      <w:r>
        <w:rPr>
          <w:b/>
          <w:color w:val="3CA321"/>
          <w:u w:val="single"/>
        </w:rPr>
        <w:t>B251121001.MT</w:t>
      </w:r>
      <w:r>
        <w:rPr>
          <w:b/>
          <w:color w:val="42A62A"/>
        </w:rPr>
        <w:tab/>
      </w:r>
    </w:p>
    <w:p w:rsidR="00E572C9" w:rsidRDefault="00000000">
      <w:pPr>
        <w:rPr>
          <w:b/>
          <w:color w:val="42A62A"/>
        </w:rPr>
      </w:pPr>
      <w:r>
        <w:rPr>
          <w:b/>
        </w:rPr>
        <w:t>Probennummer:</w:t>
      </w:r>
      <w:r>
        <w:rPr>
          <w:b/>
          <w:color w:val="42A62A"/>
        </w:rPr>
        <w:t xml:space="preserve"> </w:t>
      </w:r>
      <w:r>
        <w:rPr>
          <w:rFonts w:eastAsia="Arial" w:cs="Arial"/>
          <w:b/>
          <w:bCs/>
          <w:color w:val="3CA321"/>
        </w:rPr>
        <w:t>D251121001</w:t>
      </w:r>
    </w:p>
    <w:p w:rsidR="00E572C9" w:rsidRDefault="00E572C9">
      <w:pPr>
        <w:rPr>
          <w:b/>
          <w:color w:val="42A62A"/>
          <w:u w:val="single"/>
        </w:rPr>
      </w:pPr>
    </w:p>
    <w:p w:rsidR="00E572C9" w:rsidRDefault="00E572C9"/>
    <w:p w:rsidR="00E572C9" w:rsidRDefault="00E572C9"/>
    <w:p w:rsidR="00E572C9" w:rsidRDefault="00000000">
      <w:pPr>
        <w:rPr>
          <w:b/>
        </w:rPr>
      </w:pPr>
      <w:r>
        <w:rPr>
          <w:b/>
        </w:rPr>
        <w:t>Kunden- und Probenkennziffer:</w:t>
      </w:r>
    </w:p>
    <w:p w:rsidR="00E572C9" w:rsidRDefault="00E572C9">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Entwurf</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21.11.2025</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20.11.2025</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FM Al 30%/Fe 70%</w:t>
            </w:r>
          </w:p>
        </w:tc>
      </w:tr>
    </w:tbl>
    <w:p w:rsidR="00E572C9" w:rsidRDefault="00E572C9">
      <w:pPr>
        <w:rPr>
          <w:b/>
        </w:rPr>
      </w:pPr>
    </w:p>
    <w:p w:rsidR="00E572C9" w:rsidRDefault="00000000">
      <w:pPr>
        <w:rPr>
          <w:b/>
        </w:rPr>
      </w:pPr>
      <w:r>
        <w:rPr>
          <w:b/>
        </w:rPr>
        <w:t>Kundenmessdaten (Probe):</w:t>
      </w:r>
    </w:p>
    <w:p w:rsidR="00E572C9" w:rsidRDefault="00E572C9"/>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jc w:val="both"/>
              <w:rPr>
                <w:rFonts w:ascii="Calibri" w:hAnsi="Calibri"/>
                <w:b/>
                <w:sz w:val="20"/>
                <w:szCs w:val="20"/>
              </w:rPr>
            </w:pPr>
            <w:r>
              <w:rPr>
                <w:rFonts w:eastAsia="Arial" w:cs="Arial"/>
                <w:color w:val="000000" w:themeColor="text1"/>
                <w:sz w:val="20"/>
                <w:szCs w:val="20"/>
              </w:rPr>
              <w:t>13,0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
                <w:sz w:val="20"/>
                <w:szCs w:val="20"/>
              </w:rPr>
            </w:pPr>
            <w:r>
              <w:rPr>
                <w:rFonts w:eastAsia="Arial" w:cs="Arial"/>
                <w:color w:val="000000" w:themeColor="text1"/>
                <w:sz w:val="20"/>
                <w:szCs w:val="20"/>
              </w:rPr>
              <w:t>171</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2,80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7,5</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Cs/>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color w:val="000000" w:themeColor="text1"/>
                <w:sz w:val="20"/>
                <w:szCs w:val="20"/>
              </w:rPr>
              <w:t>480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bl>
    <w:p w:rsidR="00E572C9" w:rsidRDefault="00E572C9"/>
    <w:p w:rsidR="00E572C9" w:rsidRDefault="00000000">
      <w:pPr>
        <w:rPr>
          <w:b/>
        </w:rPr>
      </w:pPr>
      <w:r>
        <w:rPr>
          <w:b/>
        </w:rPr>
        <w:t xml:space="preserve"> </w:t>
      </w:r>
    </w:p>
    <w:p w:rsidR="00E572C9" w:rsidRDefault="00000000">
      <w:pPr>
        <w:rPr>
          <w:b/>
          <w:bCs/>
          <w:color w:val="7F7F7F" w:themeColor="text1" w:themeTint="80"/>
          <w:sz w:val="20"/>
          <w:szCs w:val="20"/>
        </w:rPr>
      </w:pPr>
      <w:r>
        <w:rPr>
          <w:b/>
          <w:bCs/>
          <w:color w:val="7F7F7F" w:themeColor="text1" w:themeTint="80"/>
          <w:sz w:val="20"/>
          <w:szCs w:val="20"/>
        </w:rPr>
        <w:t>Abkürzungen/Erklärungen:</w:t>
      </w:r>
    </w:p>
    <w:p w:rsidR="00E572C9" w:rsidRDefault="00E572C9">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9"/>
        <w:gridCol w:w="7343"/>
      </w:tblGrid>
      <w:tr w:rsidR="00E572C9">
        <w:tc>
          <w:tcPr>
            <w:tcW w:w="2309" w:type="dxa"/>
            <w:tcBorders>
              <w:top w:val="single" w:sz="4" w:space="0" w:color="7F7F7F"/>
              <w:left w:val="single" w:sz="4" w:space="0" w:color="7F7F7F"/>
              <w:bottom w:val="single" w:sz="4" w:space="0" w:color="7F7F7F"/>
              <w:right w:val="single" w:sz="4" w:space="0" w:color="7F7F7F"/>
            </w:tcBorders>
          </w:tcPr>
          <w:p w:rsidR="00E572C9" w:rsidRPr="00EF1D3F" w:rsidRDefault="00000000">
            <w:pPr>
              <w:tabs>
                <w:tab w:val="center" w:pos="1045"/>
              </w:tabs>
              <w:rPr>
                <w:b/>
                <w:bCs/>
                <w:i/>
                <w:iCs/>
                <w:color w:val="7F7F7F" w:themeColor="text1" w:themeTint="80"/>
                <w:sz w:val="16"/>
                <w:szCs w:val="16"/>
              </w:rPr>
            </w:pPr>
            <w:r w:rsidRPr="00EF1D3F">
              <w:rPr>
                <w:rFonts w:eastAsia="Arial" w:cs="Arial"/>
                <w:b/>
                <w:bCs/>
                <w:i/>
                <w:iCs/>
                <w:color w:val="7F7F7F" w:themeColor="text1" w:themeTint="80"/>
                <w:sz w:val="16"/>
                <w:szCs w:val="16"/>
              </w:rPr>
              <w:t>Microthrix parvicella</w:t>
            </w:r>
            <w:r w:rsidRPr="00EF1D3F">
              <w:rPr>
                <w:rFonts w:eastAsia="Arial" w:cs="Arial"/>
                <w:b/>
                <w:bCs/>
                <w:i/>
                <w:i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9652" w:type="dxa"/>
            <w:gridSpan w:val="2"/>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FE3280" w:rsidRPr="00FE3280">
              <w:rPr>
                <w:rFonts w:eastAsia="Arial" w:cs="Arial"/>
                <w:b/>
                <w:bCs/>
                <w:color w:val="92D050"/>
                <w:sz w:val="16"/>
                <w:szCs w:val="16"/>
              </w:rPr>
              <w:t>:</w:t>
            </w:r>
          </w:p>
          <w:p w:rsidR="00E572C9"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E572C9" w:rsidRDefault="00E572C9"/>
    <w:p w:rsidR="00E572C9" w:rsidRDefault="00E572C9">
      <w:pPr>
        <w:rPr>
          <w:sz w:val="16"/>
        </w:rPr>
      </w:pPr>
    </w:p>
    <w:p w:rsidR="00E572C9" w:rsidRDefault="00E572C9">
      <w:pPr>
        <w:rPr>
          <w:sz w:val="16"/>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000000">
      <w:pPr>
        <w:rPr>
          <w:b/>
          <w:sz w:val="28"/>
          <w:szCs w:val="28"/>
        </w:rPr>
      </w:pPr>
      <w:r>
        <w:br w:type="page" w:clear="all"/>
      </w:r>
    </w:p>
    <w:p w:rsidR="00E572C9" w:rsidRDefault="00000000">
      <w:pPr>
        <w:rPr>
          <w:b/>
          <w:sz w:val="28"/>
          <w:szCs w:val="28"/>
        </w:rPr>
      </w:pPr>
      <w:r>
        <w:rPr>
          <w:b/>
          <w:sz w:val="28"/>
          <w:szCs w:val="28"/>
        </w:rPr>
        <w:lastRenderedPageBreak/>
        <w:t>Ergebnisse:</w:t>
      </w:r>
    </w:p>
    <w:p w:rsidR="00E572C9" w:rsidRDefault="00E572C9">
      <w:pPr>
        <w:rPr>
          <w:b/>
        </w:rPr>
      </w:pPr>
    </w:p>
    <w:tbl>
      <w:tblPr>
        <w:tblStyle w:val="Tabellenraster"/>
        <w:tblW w:w="9555" w:type="dxa"/>
        <w:tblInd w:w="108" w:type="dxa"/>
        <w:tblLayout w:type="fixed"/>
        <w:tblLook w:val="04A0" w:firstRow="1" w:lastRow="0" w:firstColumn="1" w:lastColumn="0" w:noHBand="0" w:noVBand="1"/>
      </w:tblPr>
      <w:tblGrid>
        <w:gridCol w:w="2655"/>
        <w:gridCol w:w="2906"/>
        <w:gridCol w:w="2662"/>
        <w:gridCol w:w="1332"/>
      </w:tblGrid>
      <w:tr w:rsidR="00E572C9">
        <w:tc>
          <w:tcPr>
            <w:tcW w:w="2655" w:type="dxa"/>
            <w:tcBorders>
              <w:top w:val="single" w:sz="4" w:space="0" w:color="7F7F7F"/>
              <w:left w:val="single" w:sz="4" w:space="0" w:color="7F7F7F"/>
              <w:bottom w:val="single" w:sz="6" w:space="0" w:color="7F7F7F"/>
              <w:right w:val="single" w:sz="6" w:space="0" w:color="7F7F7F"/>
            </w:tcBorders>
          </w:tcPr>
          <w:p w:rsidR="00E572C9" w:rsidRPr="00EF1DA5" w:rsidRDefault="00000000">
            <w:pPr>
              <w:rPr>
                <w:b/>
                <w:bCs/>
                <w:sz w:val="22"/>
                <w:szCs w:val="22"/>
              </w:rPr>
            </w:pPr>
            <w:r w:rsidRPr="00EF1DA5">
              <w:rPr>
                <w:rFonts w:eastAsia="Arial" w:cs="Arial"/>
                <w:b/>
                <w:bCs/>
                <w:sz w:val="22"/>
                <w:szCs w:val="22"/>
              </w:rPr>
              <w:t>Probennummer:</w:t>
            </w:r>
          </w:p>
        </w:tc>
        <w:tc>
          <w:tcPr>
            <w:tcW w:w="2906" w:type="dxa"/>
            <w:tcBorders>
              <w:top w:val="single" w:sz="4" w:space="0" w:color="7F7F7F"/>
              <w:left w:val="single" w:sz="6" w:space="0" w:color="7F7F7F"/>
              <w:bottom w:val="single" w:sz="6" w:space="0" w:color="7F7F7F"/>
              <w:right w:val="single" w:sz="6" w:space="0" w:color="7F7F7F"/>
            </w:tcBorders>
          </w:tcPr>
          <w:p w:rsidR="00E572C9" w:rsidRPr="00EF1DA5" w:rsidRDefault="00000000">
            <w:pPr>
              <w:rPr>
                <w:b/>
                <w:bCs/>
                <w:color w:val="42A62A"/>
                <w:sz w:val="22"/>
                <w:szCs w:val="22"/>
              </w:rPr>
            </w:pPr>
            <w:r w:rsidRPr="00EF1DA5">
              <w:rPr>
                <w:rFonts w:eastAsia="Arial" w:cs="Arial"/>
                <w:b/>
                <w:bCs/>
                <w:color w:val="42A62A"/>
                <w:sz w:val="22"/>
                <w:szCs w:val="22"/>
              </w:rPr>
              <w:t>D251121001</w:t>
            </w:r>
          </w:p>
        </w:tc>
        <w:tc>
          <w:tcPr>
            <w:tcW w:w="266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c>
          <w:tcPr>
            <w:tcW w:w="133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Default="00000000">
            <w:pPr>
              <w:rPr>
                <w:b/>
                <w:sz w:val="18"/>
                <w:szCs w:val="18"/>
              </w:rPr>
            </w:pPr>
            <w:r>
              <w:rPr>
                <w:rFonts w:eastAsia="Arial" w:cs="Arial"/>
                <w:b/>
                <w:sz w:val="18"/>
                <w:szCs w:val="18"/>
              </w:rPr>
              <w:t>Bakteriengruppe</w:t>
            </w:r>
          </w:p>
        </w:tc>
        <w:tc>
          <w:tcPr>
            <w:tcW w:w="2906" w:type="dxa"/>
            <w:tcBorders>
              <w:top w:val="single" w:sz="6" w:space="0" w:color="7F7F7F"/>
              <w:left w:val="single" w:sz="6" w:space="0" w:color="7F7F7F"/>
              <w:bottom w:val="single" w:sz="6" w:space="0" w:color="7F7F7F"/>
              <w:right w:val="single" w:sz="6" w:space="0" w:color="7F7F7F"/>
            </w:tcBorders>
          </w:tcPr>
          <w:p w:rsidR="00E572C9" w:rsidRDefault="00432FD6">
            <w:pPr>
              <w:jc w:val="center"/>
              <w:rPr>
                <w:b/>
                <w:sz w:val="18"/>
                <w:szCs w:val="18"/>
              </w:rPr>
            </w:pPr>
            <w:r>
              <w:rPr>
                <w:rFonts w:eastAsia="Arial" w:cs="Arial"/>
                <w:b/>
                <w:sz w:val="18"/>
                <w:szCs w:val="18"/>
              </w:rPr>
              <w:t>Gesamtzellzahl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2" w:type="dxa"/>
            <w:tcBorders>
              <w:top w:val="single" w:sz="6" w:space="0" w:color="7F7F7F"/>
              <w:left w:val="single" w:sz="6" w:space="0" w:color="7F7F7F"/>
              <w:bottom w:val="single" w:sz="6" w:space="0" w:color="7F7F7F"/>
              <w:right w:val="single" w:sz="6" w:space="0" w:color="7F7F7F"/>
            </w:tcBorders>
          </w:tcPr>
          <w:p w:rsidR="00432FD6" w:rsidRDefault="00432FD6" w:rsidP="00432FD6">
            <w:pPr>
              <w:jc w:val="center"/>
              <w:rPr>
                <w:rFonts w:eastAsia="Arial" w:cs="Arial"/>
                <w:b/>
                <w:sz w:val="18"/>
                <w:szCs w:val="18"/>
              </w:rPr>
            </w:pPr>
            <w:r>
              <w:rPr>
                <w:rFonts w:eastAsia="Arial" w:cs="Arial"/>
                <w:b/>
                <w:sz w:val="18"/>
                <w:szCs w:val="18"/>
              </w:rPr>
              <w:t>Lebendzellzahl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rFonts w:eastAsia="Arial" w:cs="Arial"/>
                <w:b/>
                <w:sz w:val="18"/>
                <w:szCs w:val="18"/>
              </w:rPr>
            </w:pPr>
            <w:r>
              <w:rPr>
                <w:rFonts w:eastAsia="Arial" w:cs="Arial"/>
                <w:b/>
                <w:sz w:val="18"/>
                <w:szCs w:val="18"/>
              </w:rPr>
              <w:t>Lebend</w:t>
            </w:r>
            <w:r w:rsidR="00432FD6">
              <w:rPr>
                <w:rFonts w:eastAsia="Arial" w:cs="Arial"/>
                <w:b/>
                <w:sz w:val="18"/>
                <w:szCs w:val="18"/>
              </w:rPr>
              <w:t>zellzahl</w:t>
            </w:r>
          </w:p>
          <w:p w:rsidR="00DD7BFF" w:rsidRDefault="00DD7BFF">
            <w:pPr>
              <w:jc w:val="center"/>
              <w:rPr>
                <w:b/>
                <w:sz w:val="18"/>
                <w:szCs w:val="18"/>
              </w:rPr>
            </w:pPr>
            <w:r>
              <w:rPr>
                <w:rFonts w:eastAsia="Arial" w:cs="Arial"/>
                <w:b/>
                <w:sz w:val="18"/>
                <w:szCs w:val="18"/>
              </w:rPr>
              <w:t>(%)</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Pr="00EF1D3F" w:rsidRDefault="00000000">
            <w:pPr>
              <w:tabs>
                <w:tab w:val="center" w:pos="813"/>
              </w:tabs>
              <w:rPr>
                <w:rFonts w:ascii="Calibri" w:eastAsia="Arial" w:hAnsi="Calibri" w:cs="Arial"/>
                <w:i/>
                <w:iCs/>
              </w:rPr>
            </w:pPr>
            <w:r w:rsidRPr="00EF1D3F">
              <w:rPr>
                <w:rFonts w:eastAsia="Arial" w:cs="Arial"/>
                <w:i/>
                <w:iCs/>
                <w:sz w:val="20"/>
                <w:szCs w:val="20"/>
              </w:rPr>
              <w:t>Microthrix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4,97</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2,78</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56,00</w:t>
            </w:r>
          </w:p>
        </w:tc>
      </w:tr>
    </w:tbl>
    <w:p w:rsidR="00E572C9" w:rsidRDefault="00E572C9">
      <w:pPr>
        <w:rPr>
          <w:sz w:val="16"/>
          <w:szCs w:val="16"/>
        </w:rPr>
      </w:pPr>
    </w:p>
    <w:p w:rsidR="00E572C9" w:rsidRPr="00DD7BFF" w:rsidRDefault="00000000">
      <w:pPr>
        <w:pStyle w:val="berschrift1"/>
        <w:rPr>
          <w:b/>
          <w:bCs/>
          <w:color w:val="42A62A"/>
        </w:rPr>
      </w:pPr>
      <w:r w:rsidRPr="00DD7BFF">
        <w:rPr>
          <w:b/>
          <w:bCs/>
          <w:color w:val="42A62A"/>
          <w:sz w:val="22"/>
        </w:rPr>
        <w:t>Anhang:</w:t>
      </w:r>
    </w:p>
    <w:p w:rsidR="00E572C9" w:rsidRDefault="00000000">
      <w:pPr>
        <w:rPr>
          <w:sz w:val="22"/>
          <w:szCs w:val="22"/>
        </w:rPr>
      </w:pPr>
      <w:r>
        <w:rPr>
          <w:sz w:val="22"/>
        </w:rPr>
        <w:t/>
        <w:pict>
          <v:shape type="#_x0000_t75" style="width:645px;height:296.7px" stroked="f" filled="f">
            <v:imagedata r:id="rId15" o:title=""/>
          </v:shape>
        </w:pict>
        <w:t/>
      </w:r>
    </w:p>
    <w:p w:rsidR="00E572C9" w:rsidRDefault="00E572C9">
      <w:pPr>
        <w:rPr>
          <w:sz w:val="22"/>
          <w:szCs w:val="22"/>
        </w:rPr>
      </w:pPr>
    </w:p>
    <w:p w:rsidR="00E572C9" w:rsidRDefault="00000000">
      <w:pPr>
        <w:rPr>
          <w:sz w:val="22"/>
          <w:szCs w:val="22"/>
        </w:rPr>
      </w:pPr>
      <w:r>
        <w:rPr>
          <w:sz w:val="22"/>
        </w:rPr>
        <w:t/>
        <w:pict>
          <v:shape type="#_x0000_t75" style="width:645px;height:296.7px" stroked="f" filled="f">
            <v:imagedata r:id="rId16" o:title=""/>
          </v:shape>
        </w:pict>
        <w:t/>
      </w:r>
    </w:p>
    <w:p w:rsidR="00E572C9" w:rsidRDefault="00000000">
      <w:pPr>
        <w:rPr>
          <w:sz w:val="22"/>
          <w:szCs w:val="22"/>
          <w:lang w:val="en-US"/>
        </w:rPr>
      </w:pPr>
      <w:r>
        <w:br w:type="page" w:clear="all"/>
      </w:r>
    </w:p>
    <w:p w:rsidR="00E572C9"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Im Vergleich zum vorherigen Befund ist die Gesamtzellzahl von Microthrix parvicella mit 4,96 x10⁸/ml gestiegen und die Lebendzellzahl mit 2,78 x10⁸/ml fast unverändert – bei leicht erhöhter Trockensubstanz (TS). Der Anstieg der gemessenen lebenden Zellzahlen entspricht fast der Erhöhung der TS und zeigt somit keine tatsächliche starke Vermehrung der Microthrix-Population an. Der prozentuale Anteil lebender Zellen ist mit 56,0% rückläufig und deutet ehr auf eine absinkende Aktivität innerhalb der Biomasse hin. Insgesamt lässt sich die aktuelle Entwicklung als leicht ansteigende Wachstumsdynamik von Microthrix parvicella interpretieren. Sollte die Fädigkeit zeitnah weiter zunehmen ist eine erneute qPCR-Analyse zu empfehlen. </w:t>
      </w:r>
    </w:p>
    <w:p w:rsidR="00E572C9" w:rsidRDefault="00E572C9">
      <w:pPr>
        <w:rPr>
          <w:i/>
          <w:color w:val="7F7F7F" w:themeColor="text1" w:themeTint="80"/>
          <w:sz w:val="22"/>
          <w:szCs w:val="22"/>
        </w:rPr>
      </w:pPr>
    </w:p>
    <w:p w:rsidR="00E572C9" w:rsidRDefault="00000000">
      <w:pPr>
        <w:rPr>
          <w:sz w:val="22"/>
          <w:szCs w:val="22"/>
        </w:rPr>
      </w:pPr>
      <w:r>
        <w:rPr>
          <w:sz w:val="22"/>
          <w:szCs w:val="22"/>
        </w:rPr>
        <w:t>Analyse durchgeführt von:  Dr. Thomas Benkert</w:t>
      </w:r>
      <w:r>
        <w:rPr>
          <w:sz w:val="22"/>
          <w:szCs w:val="22"/>
        </w:rPr>
        <w:tab/>
        <w:t xml:space="preserve"> </w:t>
      </w:r>
    </w:p>
    <w:p w:rsidR="00E572C9" w:rsidRDefault="00000000">
      <w:r>
        <w:rPr>
          <w:sz w:val="22"/>
          <w:szCs w:val="22"/>
        </w:rPr>
        <w:t>Analysedaten geprüft von:  Dr. Thomas Benkert</w:t>
      </w:r>
      <w:r>
        <w:tab/>
        <w:t xml:space="preserve"> </w:t>
      </w:r>
    </w:p>
    <w:p w:rsidR="00E572C9" w:rsidRDefault="00E572C9">
      <w:pPr>
        <w:rPr>
          <w:sz w:val="22"/>
        </w:rPr>
      </w:pPr>
    </w:p>
    <w:p w:rsidR="00E572C9" w:rsidRDefault="00E572C9">
      <w:pPr>
        <w:rPr>
          <w:sz w:val="22"/>
        </w:rPr>
      </w:pPr>
    </w:p>
    <w:p w:rsidR="00E572C9" w:rsidRDefault="00E572C9">
      <w:pPr>
        <w:rPr>
          <w:sz w:val="22"/>
          <w:szCs w:val="22"/>
          <w:lang w:val="en-US"/>
        </w:rPr>
      </w:pPr>
    </w:p>
    <w:sectPr w:rsidR="00E572C9">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495" w:rsidRDefault="00A65495">
      <w:r>
        <w:separator/>
      </w:r>
    </w:p>
  </w:endnote>
  <w:endnote w:type="continuationSeparator" w:id="0">
    <w:p w:rsidR="00A65495" w:rsidRDefault="00A6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color w:val="42A62A"/>
              <w:sz w:val="15"/>
              <w:szCs w:val="15"/>
            </w:rPr>
          </w:pPr>
          <w:r>
            <w:rPr>
              <w:rFonts w:eastAsia="Arial" w:cs="Arial"/>
              <w:b/>
              <w:bCs/>
              <w:color w:val="42A62A"/>
              <w:sz w:val="15"/>
              <w:szCs w:val="15"/>
            </w:rPr>
            <w:t>DyeNA Genetics GmbH</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Bankverbindung</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Regnitzweg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VR Bank Schweinfurt</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BIC: GENODEF1ATE</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E572C9" w:rsidRDefault="00E57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495" w:rsidRDefault="00A65495">
      <w:r>
        <w:separator/>
      </w:r>
    </w:p>
  </w:footnote>
  <w:footnote w:type="continuationSeparator" w:id="0">
    <w:p w:rsidR="00A65495" w:rsidRDefault="00A6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6" y="16120"/>
                  <wp:lineTo x="16829" y="14066"/>
                  <wp:lineTo x="21464" y="12013"/>
                  <wp:lineTo x="21464"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78 74630 77912 65120 99370 55616 99370 27134 91347 25778 22394 21690 25968 10815 23273 8093 2685 0 0 0" stroked="false">
              <w10:wrap type="tight"/>
              <v:imagedata r:id="rId2" o:title=""/>
              <o:lock v:ext="edit" rotation="t"/>
            </v:shape>
          </w:pict>
        </mc:Fallback>
      </mc:AlternateContent>
    </w:r>
    <w:r>
      <w:rPr>
        <w:color w:val="42A62A"/>
        <w:sz w:val="22"/>
      </w:rPr>
      <w:t>DyeNA Genetics GmbH</w:t>
    </w:r>
  </w:p>
  <w:p w:rsidR="00E572C9" w:rsidRDefault="00000000">
    <w:pPr>
      <w:pStyle w:val="Kopfzeile"/>
      <w:rPr>
        <w:color w:val="42A62A"/>
        <w:sz w:val="22"/>
      </w:rPr>
    </w:pPr>
    <w:r>
      <w:rPr>
        <w:color w:val="42A62A"/>
        <w:sz w:val="22"/>
      </w:rPr>
      <w:t>Regnitzweg 10</w:t>
    </w:r>
  </w:p>
  <w:p w:rsidR="00E572C9" w:rsidRDefault="00000000">
    <w:pPr>
      <w:pStyle w:val="Kopfzeile"/>
      <w:rPr>
        <w:color w:val="42A62A"/>
        <w:sz w:val="22"/>
      </w:rPr>
    </w:pPr>
    <w:r>
      <w:rPr>
        <w:color w:val="42A62A"/>
        <w:sz w:val="22"/>
      </w:rPr>
      <w:t xml:space="preserve">97422 Schweinfurt </w:t>
    </w:r>
  </w:p>
  <w:p w:rsidR="00E572C9"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C9"/>
    <w:rsid w:val="002F3DD3"/>
    <w:rsid w:val="00432FD6"/>
    <w:rsid w:val="006E04C6"/>
    <w:rsid w:val="00763794"/>
    <w:rsid w:val="009E6B8E"/>
    <w:rsid w:val="00A65495"/>
    <w:rsid w:val="00C65FA7"/>
    <w:rsid w:val="00DD7BFF"/>
    <w:rsid w:val="00E572C9"/>
    <w:rsid w:val="00EF1D3F"/>
    <w:rsid w:val="00EF1DA5"/>
    <w:rsid w:val="00FE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74AF2-5ECE-A348-A3F8-D88573B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1248</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7</cp:revision>
  <dcterms:created xsi:type="dcterms:W3CDTF">2025-11-29T11:21:00Z</dcterms:created>
  <dcterms:modified xsi:type="dcterms:W3CDTF">2025-12-06T16:54:00Z</dcterms:modified>
  <dc:language>en-US</dc:language>
</cp:coreProperties>
</file>