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5F2" w:rsidRDefault="000C75F2"/>
    <w:p w:rsidR="000C75F2" w:rsidRDefault="000C75F2">
      <w:pPr>
        <w:rPr>
          <w:sz w:val="22"/>
          <w:szCs w:val="22"/>
        </w:rPr>
      </w:pPr>
    </w:p>
    <w:p w:rsidR="000C75F2" w:rsidRDefault="00000000">
      <w:r>
        <w:t>Kommunalunternehmen Coburger</w:t>
        <w:br/>
        <w:t>Entsorgungs- und Baubetrieb Anstalt des</w:t>
        <w:br/>
        <w:t>öffentlichen Rechts</w:t>
      </w:r>
    </w:p>
    <w:p w:rsidR="000C75F2" w:rsidRDefault="00000000">
      <w:r>
        <w:t>Bamberger Straße 2-6 </w:t>
      </w:r>
    </w:p>
    <w:p w:rsidR="000C75F2" w:rsidRDefault="000C75F2">
      <w:pPr>
        <w:rPr>
          <w:highlight w:val="yellow"/>
        </w:rPr>
      </w:pPr>
    </w:p>
    <w:p w:rsidR="000C75F2" w:rsidRDefault="00000000">
      <w:r>
        <w:t>96450  Coburg</w:t>
      </w:r>
    </w:p>
    <w:p w:rsidR="000C75F2" w:rsidRDefault="000C75F2"/>
    <w:p w:rsidR="000C75F2" w:rsidRDefault="000C75F2"/>
    <w:p w:rsidR="000C75F2" w:rsidRDefault="000C75F2"/>
    <w:p w:rsidR="000C75F2" w:rsidRDefault="000C75F2"/>
    <w:p w:rsidR="000C75F2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 Nitrifikanten</w:t>
      </w:r>
      <w:r>
        <w:rPr>
          <w:b/>
          <w:color w:val="42A62A"/>
          <w:u w:val="single"/>
        </w:rPr>
        <w:t xml:space="preserve"> 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>
      <w:pPr>
        <w:rPr>
          <w:b/>
          <w:color w:val="42A62A"/>
          <w:u w:val="single"/>
        </w:rPr>
      </w:pPr>
    </w:p>
    <w:p w:rsidR="000C75F2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B250904004.NT</w:t>
      </w:r>
      <w:r>
        <w:rPr>
          <w:b/>
          <w:color w:val="42A62A"/>
        </w:rPr>
        <w:tab/>
      </w:r>
    </w:p>
    <w:p w:rsidR="000C75F2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D250904004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/>
    <w:p w:rsidR="000C75F2" w:rsidRDefault="000C75F2"/>
    <w:p w:rsidR="000C75F2" w:rsidRDefault="00000000">
      <w:pPr>
        <w:rPr>
          <w:b/>
        </w:rPr>
      </w:pPr>
      <w:r>
        <w:rPr>
          <w:b/>
        </w:rPr>
        <w:t>Kunden- und Probenkennziffer:</w:t>
      </w:r>
    </w:p>
    <w:p w:rsidR="000C75F2" w:rsidRDefault="000C75F2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491051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Coburg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04.09.2025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Nitrifikation 1+2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02.09.2025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b/>
        </w:rPr>
      </w:pPr>
    </w:p>
    <w:p w:rsidR="000C75F2" w:rsidRDefault="00000000">
      <w:pPr>
        <w:rPr>
          <w:b/>
        </w:rPr>
      </w:pPr>
      <w:r>
        <w:rPr>
          <w:b/>
        </w:rPr>
        <w:t>Kundenmessdaten (Probe):</w:t>
      </w:r>
    </w:p>
    <w:p w:rsidR="000C75F2" w:rsidRDefault="000C75F2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187,0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3,47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0,040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0,010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5,670</w:t>
            </w:r>
          </w:p>
        </w:tc>
      </w:tr>
    </w:tbl>
    <w:p w:rsidR="000C75F2" w:rsidRDefault="000C75F2"/>
    <w:p w:rsidR="000C75F2" w:rsidRDefault="00000000">
      <w:pPr>
        <w:rPr>
          <w:b/>
        </w:rPr>
      </w:pPr>
      <w:r>
        <w:rPr>
          <w:b/>
        </w:rPr>
        <w:t xml:space="preserve"> </w:t>
      </w:r>
    </w:p>
    <w:p w:rsidR="000C75F2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0C75F2" w:rsidRDefault="000C75F2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AOB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Nitrotoga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>Gesamt</w:t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Zellzahlen aller gemessenen Nitrit oxidierenden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596B4B" w:rsidRPr="00596B4B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9E6CF4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9E6CF4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0C75F2" w:rsidRDefault="00000000">
      <w:pPr>
        <w:rPr>
          <w:color w:val="7F7F7F" w:themeColor="text1" w:themeTint="80"/>
          <w:sz w:val="15"/>
          <w:szCs w:val="15"/>
        </w:rPr>
      </w:pPr>
      <w:r>
        <w:br w:type="page" w:clear="all"/>
      </w:r>
    </w:p>
    <w:p w:rsidR="000C75F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0C75F2" w:rsidRDefault="000C75F2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689"/>
        <w:gridCol w:w="1433"/>
        <w:gridCol w:w="1559"/>
        <w:gridCol w:w="1526"/>
      </w:tblGrid>
      <w:tr w:rsidR="000C75F2" w:rsidTr="008F3216">
        <w:tc>
          <w:tcPr>
            <w:tcW w:w="1839" w:type="dxa"/>
          </w:tcPr>
          <w:p w:rsidR="000C75F2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right w:val="single" w:sz="4" w:space="0" w:color="7F7F7F"/>
            </w:tcBorders>
          </w:tcPr>
          <w:p w:rsidR="000C75F2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D250904004</w:t>
            </w:r>
          </w:p>
        </w:tc>
        <w:tc>
          <w:tcPr>
            <w:tcW w:w="1689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</w:tr>
      <w:tr w:rsidR="000C75F2" w:rsidTr="008F3216">
        <w:tc>
          <w:tcPr>
            <w:tcW w:w="1839" w:type="dxa"/>
          </w:tcPr>
          <w:p w:rsidR="000C75F2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Gesamtzellzahl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689" w:type="dxa"/>
            <w:tcBorders>
              <w:top w:val="single" w:sz="4" w:space="0" w:color="7F7F7F"/>
            </w:tcBorders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Lebendzellzahl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433" w:type="dxa"/>
            <w:tcBorders>
              <w:top w:val="single" w:sz="4" w:space="0" w:color="7F7F7F"/>
            </w:tcBorders>
          </w:tcPr>
          <w:p w:rsidR="00040C3B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Lebendzellzahl </w:t>
            </w:r>
          </w:p>
          <w:p w:rsidR="000C75F2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  <w:tc>
          <w:tcPr>
            <w:tcW w:w="1559" w:type="dxa"/>
            <w:tcBorders>
              <w:top w:val="single" w:sz="4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Verhältnis Nitrotoga/NOB</w:t>
            </w:r>
          </w:p>
        </w:tc>
        <w:tc>
          <w:tcPr>
            <w:tcW w:w="1526" w:type="dxa"/>
            <w:tcBorders>
              <w:top w:val="single" w:sz="4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Verhältnis NOB gesamt / AOB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AOB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4,65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3,15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67,70</w:t>
            </w:r>
          </w:p>
        </w:tc>
        <w:tc>
          <w:tcPr>
            <w:tcW w:w="1559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0,000</w:t>
            </w:r>
          </w:p>
        </w:tc>
        <w:tc>
          <w:tcPr>
            <w:tcW w:w="1526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3,118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W w:w="1559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</w:p>
        </w:tc>
        <w:tc>
          <w:tcPr>
            <w:tcW w:w="1526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Nitrotoga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0,00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0,00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58,30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Nitrifikanten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00000">
      <w:pPr>
        <w:pStyle w:val="berschrift1"/>
        <w:rPr>
          <w:color w:val="42A62A"/>
        </w:rPr>
      </w:pPr>
      <w:r>
        <w:rPr>
          <w:color w:val="42A62A"/>
          <w:sz w:val="22"/>
        </w:rPr>
        <w:t>Anhang:</w:t>
      </w: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0C75F2" w:rsidRDefault="000C75F2">
      <w:pPr>
        <w:rPr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0C75F2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0C75F2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Test </w:t>
      </w:r>
    </w:p>
    <w:p w:rsidR="000C75F2" w:rsidRDefault="000C75F2">
      <w:pPr>
        <w:rPr>
          <w:i/>
          <w:color w:val="7F7F7F" w:themeColor="text1" w:themeTint="80"/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0C75F2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  <w:szCs w:val="22"/>
          <w:lang w:val="en-US"/>
        </w:rPr>
      </w:pPr>
    </w:p>
    <w:sectPr w:rsidR="000C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A0F" w:rsidRDefault="00781A0F">
      <w:r>
        <w:separator/>
      </w:r>
    </w:p>
  </w:endnote>
  <w:endnote w:type="continuationSeparator" w:id="0">
    <w:p w:rsidR="00781A0F" w:rsidRDefault="0078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Mono">
    <w:altName w:val="Calibri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0C75F2" w:rsidRDefault="000C75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A0F" w:rsidRDefault="00781A0F">
      <w:r>
        <w:separator/>
      </w:r>
    </w:p>
  </w:footnote>
  <w:footnote w:type="continuationSeparator" w:id="0">
    <w:p w:rsidR="00781A0F" w:rsidRDefault="0078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0C75F2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0C75F2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0C75F2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F2"/>
    <w:rsid w:val="00040C3B"/>
    <w:rsid w:val="000C75F2"/>
    <w:rsid w:val="00302808"/>
    <w:rsid w:val="003A4263"/>
    <w:rsid w:val="00596B4B"/>
    <w:rsid w:val="005D1E73"/>
    <w:rsid w:val="00781A0F"/>
    <w:rsid w:val="008F3216"/>
    <w:rsid w:val="009E6CF4"/>
    <w:rsid w:val="00A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9F6F0-911C-A242-AB6E-268E470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46</cp:revision>
  <dcterms:created xsi:type="dcterms:W3CDTF">2025-10-13T15:57:00Z</dcterms:created>
  <dcterms:modified xsi:type="dcterms:W3CDTF">2025-12-08T11:05:00Z</dcterms:modified>
  <dc:language>en-US</dc:language>
</cp:coreProperties>
</file>