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72C9" w:rsidRDefault="00E572C9"/>
    <w:p w:rsidR="00E572C9" w:rsidRDefault="00E572C9">
      <w:pPr>
        <w:rPr>
          <w:sz w:val="22"/>
          <w:szCs w:val="22"/>
        </w:rPr>
      </w:pPr>
    </w:p>
    <w:p w:rsidR="00E572C9" w:rsidRDefault="00000000">
      <w:r>
        <w:t>STADT BAD KISSINGEN </w:t>
      </w:r>
    </w:p>
    <w:p w:rsidR="00E572C9" w:rsidRDefault="00000000">
      <w:r>
        <w:t>Im Lindes 11</w:t>
      </w:r>
    </w:p>
    <w:p w:rsidR="00E572C9" w:rsidRDefault="00E572C9">
      <w:pPr>
        <w:rPr>
          <w:highlight w:val="yellow"/>
        </w:rPr>
      </w:pPr>
    </w:p>
    <w:p w:rsidR="00E572C9" w:rsidRDefault="00000000">
      <w:r>
        <w:t>97688  Bad Kissingen</w:t>
      </w:r>
    </w:p>
    <w:p w:rsidR="00E572C9" w:rsidRDefault="00E572C9"/>
    <w:p w:rsidR="00E572C9" w:rsidRDefault="00E572C9"/>
    <w:p w:rsidR="00E572C9" w:rsidRDefault="00E572C9"/>
    <w:p w:rsidR="00E572C9" w:rsidRDefault="00E572C9"/>
    <w:p w:rsidR="00E572C9" w:rsidRDefault="00000000">
      <w:pPr>
        <w:rPr>
          <w:b/>
          <w:color w:val="42A62A"/>
          <w:u w:val="single"/>
        </w:rPr>
      </w:pPr>
      <w:r>
        <w:rPr>
          <w:b/>
          <w:color w:val="42A62A"/>
          <w:sz w:val="28"/>
          <w:szCs w:val="28"/>
          <w:u w:val="single"/>
        </w:rPr>
        <w:t>Analysebericht: Real-Time qPCR-Quantifizieru</w:t>
      </w:r>
      <w:r w:rsidRPr="00DD7BFF">
        <w:rPr>
          <w:b/>
          <w:color w:val="3CA321"/>
          <w:sz w:val="28"/>
          <w:szCs w:val="28"/>
          <w:u w:val="single"/>
        </w:rPr>
        <w:t xml:space="preserve">ng </w:t>
      </w:r>
      <w:r>
        <w:rPr>
          <w:b/>
          <w:color w:val="42A62A"/>
          <w:sz w:val="28"/>
          <w:szCs w:val="28"/>
          <w:u w:val="single"/>
        </w:rPr>
        <w:t>Microthrix parvicella</w:t>
      </w:r>
      <w:r>
        <w:rPr>
          <w:b/>
          <w:color w:val="42A62A"/>
          <w:u w:val="single"/>
        </w:rPr>
        <w:t xml:space="preserve"> </w:t>
      </w:r>
    </w:p>
    <w:p w:rsidR="00E572C9" w:rsidRDefault="00E572C9">
      <w:pPr>
        <w:rPr>
          <w:b/>
          <w:color w:val="42A62A"/>
          <w:u w:val="single"/>
        </w:rPr>
      </w:pPr>
    </w:p>
    <w:p w:rsidR="00E572C9" w:rsidRDefault="00E572C9">
      <w:pPr>
        <w:rPr>
          <w:b/>
          <w:color w:val="42A62A"/>
          <w:u w:val="single"/>
        </w:rPr>
      </w:pPr>
    </w:p>
    <w:p w:rsidR="00E572C9" w:rsidRDefault="00000000">
      <w:pPr>
        <w:rPr>
          <w:b/>
          <w:color w:val="42A62A"/>
        </w:rPr>
      </w:pPr>
      <w:r>
        <w:rPr>
          <w:b/>
        </w:rPr>
        <w:t>Befundnummer:</w:t>
      </w:r>
      <w:r>
        <w:rPr>
          <w:b/>
          <w:color w:val="3CA321"/>
        </w:rPr>
        <w:t xml:space="preserve"> </w:t>
      </w:r>
      <w:r>
        <w:rPr>
          <w:b/>
          <w:color w:val="3CA321"/>
          <w:u w:val="single"/>
        </w:rPr>
        <w:t>B250515002.MT</w:t>
      </w:r>
      <w:r>
        <w:rPr>
          <w:b/>
          <w:color w:val="42A62A"/>
        </w:rPr>
        <w:tab/>
      </w:r>
    </w:p>
    <w:p w:rsidR="00E572C9" w:rsidRDefault="00000000">
      <w:pPr>
        <w:rPr>
          <w:b/>
          <w:color w:val="42A62A"/>
        </w:rPr>
      </w:pPr>
      <w:r>
        <w:rPr>
          <w:b/>
        </w:rPr>
        <w:t>Probennummer:</w:t>
      </w:r>
      <w:r>
        <w:rPr>
          <w:b/>
          <w:color w:val="42A62A"/>
        </w:rPr>
        <w:t xml:space="preserve"> </w:t>
      </w:r>
      <w:r>
        <w:rPr>
          <w:rFonts w:eastAsia="Arial" w:cs="Arial"/>
          <w:b/>
          <w:bCs/>
          <w:color w:val="3CA321"/>
        </w:rPr>
        <w:t>D250515002</w:t>
      </w:r>
    </w:p>
    <w:p w:rsidR="00E572C9" w:rsidRDefault="00E572C9">
      <w:pPr>
        <w:rPr>
          <w:b/>
          <w:color w:val="42A62A"/>
          <w:u w:val="single"/>
        </w:rPr>
      </w:pPr>
    </w:p>
    <w:p w:rsidR="00E572C9" w:rsidRDefault="00E572C9"/>
    <w:p w:rsidR="00E572C9" w:rsidRDefault="00E572C9"/>
    <w:p w:rsidR="00E572C9" w:rsidRDefault="00000000">
      <w:pPr>
        <w:rPr>
          <w:b/>
        </w:rPr>
      </w:pPr>
      <w:r>
        <w:rPr>
          <w:b/>
        </w:rPr>
        <w:t>Kunden- und Probenkennziffer:</w:t>
      </w:r>
    </w:p>
    <w:p w:rsidR="00E572C9" w:rsidRDefault="00E572C9">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491040</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AB-2410141</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KA Bad Kissingen</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16.05.2025</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Belebungsbecken 1 </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14.05.2025</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
            </w:r>
          </w:p>
        </w:tc>
      </w:tr>
    </w:tbl>
    <w:p w:rsidR="00E572C9" w:rsidRDefault="00E572C9">
      <w:pPr>
        <w:rPr>
          <w:b/>
        </w:rPr>
      </w:pPr>
    </w:p>
    <w:p w:rsidR="00E572C9" w:rsidRDefault="00000000">
      <w:pPr>
        <w:rPr>
          <w:b/>
        </w:rPr>
      </w:pPr>
      <w:r>
        <w:rPr>
          <w:b/>
        </w:rPr>
        <w:t>Kundenmessdaten (Probe):</w:t>
      </w:r>
    </w:p>
    <w:p w:rsidR="00E572C9" w:rsidRDefault="00E572C9"/>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jc w:val="both"/>
              <w:rPr>
                <w:rFonts w:ascii="Calibri" w:hAnsi="Calibri"/>
                <w:b/>
                <w:sz w:val="20"/>
                <w:szCs w:val="20"/>
              </w:rPr>
            </w:pPr>
            <w:r>
              <w:rPr>
                <w:rFonts w:eastAsia="Arial" w:cs="Arial"/>
                <w:color w:val="000000" w:themeColor="text1"/>
                <w:sz w:val="20"/>
                <w:szCs w:val="20"/>
              </w:rPr>
              <w:t>16,1</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
                <w:sz w:val="20"/>
                <w:szCs w:val="20"/>
              </w:rPr>
            </w:pPr>
            <w:r>
              <w:rPr>
                <w:rFonts w:eastAsia="Arial" w:cs="Arial"/>
                <w:color w:val="000000" w:themeColor="text1"/>
                <w:sz w:val="20"/>
                <w:szCs w:val="20"/>
              </w:rPr>
              <w:t>125</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3,10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7,3</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Cs/>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color w:val="000000" w:themeColor="text1"/>
                <w:sz w:val="20"/>
                <w:szCs w:val="20"/>
              </w:rPr>
              <w:t>390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lang w:val="en-US"/>
              </w:rPr>
            </w:pPr>
            <w:bookmarkStart w:id="0"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0"/>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bl>
    <w:p w:rsidR="00E572C9" w:rsidRDefault="00E572C9"/>
    <w:p w:rsidR="00E572C9" w:rsidRDefault="00000000">
      <w:pPr>
        <w:rPr>
          <w:b/>
        </w:rPr>
      </w:pPr>
      <w:r>
        <w:rPr>
          <w:b/>
        </w:rPr>
        <w:t xml:space="preserve"> </w:t>
      </w:r>
    </w:p>
    <w:p w:rsidR="00E572C9" w:rsidRDefault="00000000">
      <w:pPr>
        <w:rPr>
          <w:b/>
          <w:bCs/>
          <w:color w:val="7F7F7F" w:themeColor="text1" w:themeTint="80"/>
          <w:sz w:val="20"/>
          <w:szCs w:val="20"/>
        </w:rPr>
      </w:pPr>
      <w:r>
        <w:rPr>
          <w:b/>
          <w:bCs/>
          <w:color w:val="7F7F7F" w:themeColor="text1" w:themeTint="80"/>
          <w:sz w:val="20"/>
          <w:szCs w:val="20"/>
        </w:rPr>
        <w:t>Abkürzungen/Erklärungen:</w:t>
      </w:r>
    </w:p>
    <w:p w:rsidR="00E572C9" w:rsidRDefault="00E572C9">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09"/>
        <w:gridCol w:w="7343"/>
      </w:tblGrid>
      <w:tr w:rsidR="00E572C9">
        <w:tc>
          <w:tcPr>
            <w:tcW w:w="2309" w:type="dxa"/>
            <w:tcBorders>
              <w:top w:val="single" w:sz="4" w:space="0" w:color="7F7F7F"/>
              <w:left w:val="single" w:sz="4" w:space="0" w:color="7F7F7F"/>
              <w:bottom w:val="single" w:sz="4" w:space="0" w:color="7F7F7F"/>
              <w:right w:val="single" w:sz="4" w:space="0" w:color="7F7F7F"/>
            </w:tcBorders>
          </w:tcPr>
          <w:p w:rsidR="00E572C9" w:rsidRPr="00EF1D3F" w:rsidRDefault="00000000">
            <w:pPr>
              <w:tabs>
                <w:tab w:val="center" w:pos="1045"/>
              </w:tabs>
              <w:rPr>
                <w:b/>
                <w:bCs/>
                <w:i/>
                <w:iCs/>
                <w:color w:val="7F7F7F" w:themeColor="text1" w:themeTint="80"/>
                <w:sz w:val="16"/>
                <w:szCs w:val="16"/>
              </w:rPr>
            </w:pPr>
            <w:r w:rsidRPr="00EF1D3F">
              <w:rPr>
                <w:rFonts w:eastAsia="Arial" w:cs="Arial"/>
                <w:b/>
                <w:bCs/>
                <w:i/>
                <w:iCs/>
                <w:color w:val="7F7F7F" w:themeColor="text1" w:themeTint="80"/>
                <w:sz w:val="16"/>
                <w:szCs w:val="16"/>
              </w:rPr>
              <w:t>Microthrix parvicella</w:t>
            </w:r>
            <w:r w:rsidRPr="00EF1D3F">
              <w:rPr>
                <w:rFonts w:eastAsia="Arial" w:cs="Arial"/>
                <w:b/>
                <w:bCs/>
                <w:i/>
                <w:iCs/>
                <w:color w:val="7F7F7F" w:themeColor="text1" w:themeTint="80"/>
                <w:sz w:val="16"/>
                <w:szCs w:val="16"/>
              </w:rPr>
              <w:tab/>
            </w:r>
          </w:p>
        </w:tc>
        <w:tc>
          <w:tcPr>
            <w:tcW w:w="7343" w:type="dxa"/>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color w:val="7F7F7F" w:themeColor="text1" w:themeTint="80"/>
                <w:sz w:val="15"/>
                <w:szCs w:val="15"/>
              </w:rPr>
            </w:pPr>
            <w:r>
              <w:rPr>
                <w:rFonts w:eastAsia="Arial" w:cs="Arial"/>
                <w:color w:val="7F7F7F" w:themeColor="text1" w:themeTint="80"/>
                <w:sz w:val="16"/>
                <w:szCs w:val="16"/>
              </w:rPr>
              <w:t>Heterotrophes, fadenförmiges Bakterium; verwertet Fette; kälteliebend; begünstigt Blähschlamm</w:t>
            </w:r>
            <w:r>
              <w:rPr>
                <w:rFonts w:eastAsia="Arial" w:cs="Arial"/>
                <w:color w:val="7F7F7F" w:themeColor="text1" w:themeTint="80"/>
                <w:sz w:val="15"/>
                <w:szCs w:val="15"/>
              </w:rPr>
              <w:tab/>
            </w:r>
          </w:p>
        </w:tc>
      </w:tr>
      <w:tr w:rsidR="00E572C9">
        <w:tc>
          <w:tcPr>
            <w:tcW w:w="9652" w:type="dxa"/>
            <w:gridSpan w:val="2"/>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rFonts w:eastAsia="Arial" w:cs="Arial"/>
                <w:color w:val="92D050"/>
                <w:sz w:val="16"/>
                <w:szCs w:val="16"/>
              </w:rPr>
            </w:pPr>
            <w:r>
              <w:rPr>
                <w:rFonts w:eastAsia="Arial" w:cs="Arial"/>
                <w:b/>
                <w:bCs/>
                <w:color w:val="42A62A"/>
                <w:sz w:val="16"/>
                <w:szCs w:val="16"/>
              </w:rPr>
              <w:t>In Grün angegebene Werte geben die Analysendaten für lebende/aktive Bakterienzellen an</w:t>
            </w:r>
            <w:r w:rsidR="00FE3280" w:rsidRPr="00FE3280">
              <w:rPr>
                <w:rFonts w:eastAsia="Arial" w:cs="Arial"/>
                <w:b/>
                <w:bCs/>
                <w:color w:val="92D050"/>
                <w:sz w:val="16"/>
                <w:szCs w:val="16"/>
              </w:rPr>
              <w:t>:</w:t>
            </w:r>
          </w:p>
          <w:p w:rsidR="00E572C9" w:rsidRDefault="00000000">
            <w:pPr>
              <w:tabs>
                <w:tab w:val="center" w:pos="1045"/>
              </w:tabs>
              <w:rPr>
                <w:rFonts w:eastAsia="Arial" w:cs="Arial"/>
                <w:color w:val="7F7F7F" w:themeColor="text1" w:themeTint="80"/>
                <w:sz w:val="16"/>
                <w:szCs w:val="16"/>
              </w:rPr>
            </w:pPr>
            <w:r>
              <w:rPr>
                <w:rFonts w:eastAsia="Arial" w:cs="Arial"/>
                <w:color w:val="7F7F7F" w:themeColor="text1" w:themeTint="80"/>
                <w:sz w:val="16"/>
                <w:szCs w:val="16"/>
              </w:rPr>
              <w:t>Die Mengenangaben sind in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Bakterien/ml dargestellt. Die Mengenangabe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entspricht Einhundertmillionen, ein Wert z.B. von 4,5 x10</w:t>
            </w:r>
            <w:r>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 pro ml entspricht Vierhundertfünfzigmillionen Bakterienzellen pro Milliliter.  </w:t>
            </w:r>
          </w:p>
        </w:tc>
      </w:tr>
    </w:tbl>
    <w:p w:rsidR="00E572C9" w:rsidRDefault="00E572C9"/>
    <w:p w:rsidR="00E572C9" w:rsidRDefault="00E572C9">
      <w:pPr>
        <w:rPr>
          <w:sz w:val="16"/>
        </w:rPr>
      </w:pPr>
    </w:p>
    <w:p w:rsidR="00E572C9" w:rsidRDefault="00E572C9">
      <w:pPr>
        <w:rPr>
          <w:sz w:val="16"/>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000000">
      <w:pPr>
        <w:rPr>
          <w:b/>
          <w:sz w:val="28"/>
          <w:szCs w:val="28"/>
        </w:rPr>
      </w:pPr>
      <w:r>
        <w:br w:type="page" w:clear="all"/>
      </w:r>
    </w:p>
    <w:p w:rsidR="00E572C9" w:rsidRDefault="00000000">
      <w:pPr>
        <w:rPr>
          <w:b/>
          <w:sz w:val="28"/>
          <w:szCs w:val="28"/>
        </w:rPr>
      </w:pPr>
      <w:r>
        <w:rPr>
          <w:b/>
          <w:sz w:val="28"/>
          <w:szCs w:val="28"/>
        </w:rPr>
        <w:lastRenderedPageBreak/>
        <w:t>Ergebnisse:</w:t>
      </w:r>
    </w:p>
    <w:p w:rsidR="00E572C9" w:rsidRDefault="00E572C9">
      <w:pPr>
        <w:rPr>
          <w:b/>
        </w:rPr>
      </w:pPr>
    </w:p>
    <w:tbl>
      <w:tblPr>
        <w:tblStyle w:val="Tabellenraster"/>
        <w:tblW w:w="9555" w:type="dxa"/>
        <w:tblInd w:w="108" w:type="dxa"/>
        <w:tblLayout w:type="fixed"/>
        <w:tblLook w:val="04A0" w:firstRow="1" w:lastRow="0" w:firstColumn="1" w:lastColumn="0" w:noHBand="0" w:noVBand="1"/>
      </w:tblPr>
      <w:tblGrid>
        <w:gridCol w:w="2655"/>
        <w:gridCol w:w="2906"/>
        <w:gridCol w:w="2662"/>
        <w:gridCol w:w="1332"/>
      </w:tblGrid>
      <w:tr w:rsidR="00E572C9">
        <w:tc>
          <w:tcPr>
            <w:tcW w:w="2655" w:type="dxa"/>
            <w:tcBorders>
              <w:top w:val="single" w:sz="4" w:space="0" w:color="7F7F7F"/>
              <w:left w:val="single" w:sz="4" w:space="0" w:color="7F7F7F"/>
              <w:bottom w:val="single" w:sz="6" w:space="0" w:color="7F7F7F"/>
              <w:right w:val="single" w:sz="6" w:space="0" w:color="7F7F7F"/>
            </w:tcBorders>
          </w:tcPr>
          <w:p w:rsidR="00E572C9" w:rsidRPr="00EF1DA5" w:rsidRDefault="00000000">
            <w:pPr>
              <w:rPr>
                <w:b/>
                <w:bCs/>
                <w:sz w:val="22"/>
                <w:szCs w:val="22"/>
              </w:rPr>
            </w:pPr>
            <w:r w:rsidRPr="00EF1DA5">
              <w:rPr>
                <w:rFonts w:eastAsia="Arial" w:cs="Arial"/>
                <w:b/>
                <w:bCs/>
                <w:sz w:val="22"/>
                <w:szCs w:val="22"/>
              </w:rPr>
              <w:t>Probennummer:</w:t>
            </w:r>
          </w:p>
        </w:tc>
        <w:tc>
          <w:tcPr>
            <w:tcW w:w="2906" w:type="dxa"/>
            <w:tcBorders>
              <w:top w:val="single" w:sz="4" w:space="0" w:color="7F7F7F"/>
              <w:left w:val="single" w:sz="6" w:space="0" w:color="7F7F7F"/>
              <w:bottom w:val="single" w:sz="6" w:space="0" w:color="7F7F7F"/>
              <w:right w:val="single" w:sz="6" w:space="0" w:color="7F7F7F"/>
            </w:tcBorders>
          </w:tcPr>
          <w:p w:rsidR="00E572C9" w:rsidRPr="00EF1DA5" w:rsidRDefault="00000000">
            <w:pPr>
              <w:rPr>
                <w:b/>
                <w:bCs/>
                <w:color w:val="42A62A"/>
                <w:sz w:val="22"/>
                <w:szCs w:val="22"/>
              </w:rPr>
            </w:pPr>
            <w:r w:rsidRPr="00EF1DA5">
              <w:rPr>
                <w:rFonts w:eastAsia="Arial" w:cs="Arial"/>
                <w:b/>
                <w:bCs/>
                <w:color w:val="42A62A"/>
                <w:sz w:val="22"/>
                <w:szCs w:val="22"/>
              </w:rPr>
              <w:t>D250515002</w:t>
            </w:r>
          </w:p>
        </w:tc>
        <w:tc>
          <w:tcPr>
            <w:tcW w:w="266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c>
          <w:tcPr>
            <w:tcW w:w="133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Default="00000000">
            <w:pPr>
              <w:rPr>
                <w:b/>
                <w:sz w:val="18"/>
                <w:szCs w:val="18"/>
              </w:rPr>
            </w:pPr>
            <w:r>
              <w:rPr>
                <w:rFonts w:eastAsia="Arial" w:cs="Arial"/>
                <w:b/>
                <w:sz w:val="18"/>
                <w:szCs w:val="18"/>
              </w:rPr>
              <w:t>Bakteriengruppe</w:t>
            </w:r>
          </w:p>
        </w:tc>
        <w:tc>
          <w:tcPr>
            <w:tcW w:w="2906" w:type="dxa"/>
            <w:tcBorders>
              <w:top w:val="single" w:sz="6" w:space="0" w:color="7F7F7F"/>
              <w:left w:val="single" w:sz="6" w:space="0" w:color="7F7F7F"/>
              <w:bottom w:val="single" w:sz="6" w:space="0" w:color="7F7F7F"/>
              <w:right w:val="single" w:sz="6" w:space="0" w:color="7F7F7F"/>
            </w:tcBorders>
          </w:tcPr>
          <w:p w:rsidR="00E572C9" w:rsidRDefault="00432FD6">
            <w:pPr>
              <w:jc w:val="center"/>
              <w:rPr>
                <w:b/>
                <w:sz w:val="18"/>
                <w:szCs w:val="18"/>
              </w:rPr>
            </w:pPr>
            <w:r>
              <w:rPr>
                <w:rFonts w:eastAsia="Arial" w:cs="Arial"/>
                <w:b/>
                <w:sz w:val="18"/>
                <w:szCs w:val="18"/>
              </w:rPr>
              <w:t>Gesamtzellzahl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2662" w:type="dxa"/>
            <w:tcBorders>
              <w:top w:val="single" w:sz="6" w:space="0" w:color="7F7F7F"/>
              <w:left w:val="single" w:sz="6" w:space="0" w:color="7F7F7F"/>
              <w:bottom w:val="single" w:sz="6" w:space="0" w:color="7F7F7F"/>
              <w:right w:val="single" w:sz="6" w:space="0" w:color="7F7F7F"/>
            </w:tcBorders>
          </w:tcPr>
          <w:p w:rsidR="00432FD6" w:rsidRDefault="00432FD6" w:rsidP="00432FD6">
            <w:pPr>
              <w:jc w:val="center"/>
              <w:rPr>
                <w:rFonts w:eastAsia="Arial" w:cs="Arial"/>
                <w:b/>
                <w:sz w:val="18"/>
                <w:szCs w:val="18"/>
              </w:rPr>
            </w:pPr>
            <w:r>
              <w:rPr>
                <w:rFonts w:eastAsia="Arial" w:cs="Arial"/>
                <w:b/>
                <w:sz w:val="18"/>
                <w:szCs w:val="18"/>
              </w:rPr>
              <w:t>Lebendzellzahl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rFonts w:eastAsia="Arial" w:cs="Arial"/>
                <w:b/>
                <w:sz w:val="18"/>
                <w:szCs w:val="18"/>
              </w:rPr>
            </w:pPr>
            <w:r>
              <w:rPr>
                <w:rFonts w:eastAsia="Arial" w:cs="Arial"/>
                <w:b/>
                <w:sz w:val="18"/>
                <w:szCs w:val="18"/>
              </w:rPr>
              <w:t>Lebend</w:t>
            </w:r>
            <w:r w:rsidR="00432FD6">
              <w:rPr>
                <w:rFonts w:eastAsia="Arial" w:cs="Arial"/>
                <w:b/>
                <w:sz w:val="18"/>
                <w:szCs w:val="18"/>
              </w:rPr>
              <w:t>zellzahl</w:t>
            </w:r>
          </w:p>
          <w:p w:rsidR="00DD7BFF" w:rsidRDefault="00DD7BFF">
            <w:pPr>
              <w:jc w:val="center"/>
              <w:rPr>
                <w:b/>
                <w:sz w:val="18"/>
                <w:szCs w:val="18"/>
              </w:rPr>
            </w:pPr>
            <w:r>
              <w:rPr>
                <w:rFonts w:eastAsia="Arial" w:cs="Arial"/>
                <w:b/>
                <w:sz w:val="18"/>
                <w:szCs w:val="18"/>
              </w:rPr>
              <w:t>(%)</w:t>
            </w: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Pr="00EF1D3F" w:rsidRDefault="00000000">
            <w:pPr>
              <w:tabs>
                <w:tab w:val="center" w:pos="813"/>
              </w:tabs>
              <w:rPr>
                <w:rFonts w:ascii="Calibri" w:eastAsia="Arial" w:hAnsi="Calibri" w:cs="Arial"/>
                <w:i/>
                <w:iCs/>
              </w:rPr>
            </w:pPr>
            <w:r w:rsidRPr="00EF1D3F">
              <w:rPr>
                <w:rFonts w:eastAsia="Arial" w:cs="Arial"/>
                <w:i/>
                <w:iCs/>
                <w:sz w:val="20"/>
                <w:szCs w:val="20"/>
              </w:rPr>
              <w:t>Microthrix parvicella</w:t>
            </w:r>
          </w:p>
        </w:tc>
        <w:tc>
          <w:tcPr>
            <w:tcW w:w="2906" w:type="dxa"/>
            <w:tcBorders>
              <w:top w:val="single" w:sz="6" w:space="0" w:color="7F7F7F"/>
              <w:left w:val="single" w:sz="6" w:space="0" w:color="7F7F7F"/>
              <w:bottom w:val="single" w:sz="6" w:space="0" w:color="7F7F7F"/>
              <w:right w:val="single" w:sz="6" w:space="0" w:color="7F7F7F"/>
            </w:tcBorders>
          </w:tcPr>
          <w:p w:rsidR="00E572C9" w:rsidRDefault="00000000">
            <w:pPr>
              <w:jc w:val="center"/>
              <w:rPr>
                <w:sz w:val="20"/>
                <w:szCs w:val="20"/>
                <w:highlight w:val="yellow"/>
              </w:rPr>
            </w:pPr>
            <w:r>
              <w:rPr>
                <w:rFonts w:eastAsia="Arial" w:cs="Arial"/>
                <w:sz w:val="20"/>
                <w:szCs w:val="20"/>
              </w:rPr>
              <w:t>14,52</w:t>
            </w:r>
          </w:p>
        </w:tc>
        <w:tc>
          <w:tcPr>
            <w:tcW w:w="266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6,58</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45,30</w:t>
            </w:r>
          </w:p>
        </w:tc>
      </w:tr>
    </w:tbl>
    <w:p w:rsidR="00E572C9" w:rsidRDefault="00E572C9">
      <w:pPr>
        <w:rPr>
          <w:sz w:val="16"/>
          <w:szCs w:val="16"/>
        </w:rPr>
      </w:pPr>
    </w:p>
    <w:p w:rsidR="00E572C9" w:rsidRPr="00DD7BFF" w:rsidRDefault="00000000">
      <w:pPr>
        <w:pStyle w:val="berschrift1"/>
        <w:rPr>
          <w:b/>
          <w:bCs/>
          <w:color w:val="42A62A"/>
        </w:rPr>
      </w:pPr>
      <w:r w:rsidRPr="00DD7BFF">
        <w:rPr>
          <w:b/>
          <w:bCs/>
          <w:color w:val="42A62A"/>
          <w:sz w:val="22"/>
        </w:rPr>
        <w:t>Anhang:</w:t>
      </w:r>
    </w:p>
    <w:p w:rsidR="00E572C9" w:rsidRDefault="00000000">
      <w:pPr>
        <w:rPr>
          <w:sz w:val="22"/>
          <w:szCs w:val="22"/>
        </w:rPr>
      </w:pPr>
      <w:r>
        <w:rPr>
          <w:sz w:val="22"/>
        </w:rPr>
        <w:t/>
        <w:pict>
          <v:shape type="#_x0000_t75" style="width:645px;height:296.7px" stroked="f" filled="f">
            <v:imagedata r:id="rId15" o:title=""/>
          </v:shape>
        </w:pict>
        <w:t/>
      </w:r>
    </w:p>
    <w:p w:rsidR="00E572C9" w:rsidRDefault="00E572C9">
      <w:pPr>
        <w:rPr>
          <w:sz w:val="22"/>
          <w:szCs w:val="22"/>
        </w:rPr>
      </w:pPr>
    </w:p>
    <w:p w:rsidR="00E572C9" w:rsidRDefault="00000000">
      <w:pPr>
        <w:rPr>
          <w:sz w:val="22"/>
          <w:szCs w:val="22"/>
        </w:rPr>
      </w:pPr>
      <w:r>
        <w:rPr>
          <w:sz w:val="22"/>
        </w:rPr>
        <w:t/>
        <w:pict>
          <v:shape type="#_x0000_t75" style="width:645px;height:296.7px" stroked="f" filled="f">
            <v:imagedata r:id="rId16" o:title=""/>
          </v:shape>
        </w:pict>
        <w:t/>
      </w:r>
    </w:p>
    <w:p w:rsidR="00E572C9" w:rsidRDefault="00000000">
      <w:pPr>
        <w:rPr>
          <w:sz w:val="22"/>
          <w:szCs w:val="22"/>
          <w:lang w:val="en-US"/>
        </w:rPr>
      </w:pPr>
      <w:r>
        <w:br w:type="page" w:clear="all"/>
      </w:r>
    </w:p>
    <w:p w:rsidR="00E572C9" w:rsidRDefault="00000000">
      <w:pPr>
        <w:pStyle w:val="StandardWeb"/>
        <w:spacing w:after="280"/>
        <w:rPr>
          <w:sz w:val="22"/>
          <w:szCs w:val="22"/>
        </w:rPr>
      </w:pPr>
      <w:r>
        <w:rPr>
          <w:rFonts w:ascii="Calibri" w:hAnsi="Calibri" w:cs="Calibri"/>
          <w:b/>
          <w:bCs/>
          <w:sz w:val="22"/>
          <w:szCs w:val="22"/>
        </w:rPr>
        <w:lastRenderedPageBreak/>
        <w:t xml:space="preserve">Fazit: </w:t>
      </w:r>
      <w:r>
        <w:rPr>
          <w:rFonts w:ascii="Calibri" w:hAnsi="Calibri" w:cs="Calibri"/>
          <w:sz w:val="22"/>
          <w:szCs w:val="22"/>
        </w:rPr>
        <w:t xml:space="preserve">Im Vergleich zum vorherigen Befund ist die Microthrix parvicella Gesamtzellzahl mit 14,52 x10⁸/ml leicht erhöht, die Lebendzellzahl mit 6,58 x10⁸/ml ist leicht gesunken. Der prozentuale Anteil lebender Zellen mit 45,3% ist reduziert, was darauf hinweist, dass die Microthrix-Population in der Biomasse aktuell weniger aktiv ist. Dies kann als abschwächende Wachstumsphase interpretiert werden und eine engmaschige mikroskopische Kontrolle wird weiterhin empfohlen. Sollte die Fädigkeit zeitnah weiter zunehmen wird eine erneute qPCR-Analyse empfohlen. </w:t>
      </w:r>
    </w:p>
    <w:p w:rsidR="00E572C9" w:rsidRDefault="00E572C9">
      <w:pPr>
        <w:rPr>
          <w:i/>
          <w:color w:val="7F7F7F" w:themeColor="text1" w:themeTint="80"/>
          <w:sz w:val="22"/>
          <w:szCs w:val="22"/>
        </w:rPr>
      </w:pPr>
    </w:p>
    <w:p w:rsidR="00E572C9" w:rsidRDefault="00000000">
      <w:pPr>
        <w:rPr>
          <w:sz w:val="22"/>
          <w:szCs w:val="22"/>
        </w:rPr>
      </w:pPr>
      <w:r>
        <w:rPr>
          <w:sz w:val="22"/>
          <w:szCs w:val="22"/>
        </w:rPr>
        <w:t>Analyse durchgeführt von:  Dr. Thomas Benkert</w:t>
      </w:r>
      <w:r>
        <w:rPr>
          <w:sz w:val="22"/>
          <w:szCs w:val="22"/>
        </w:rPr>
        <w:tab/>
        <w:t xml:space="preserve"> </w:t>
      </w:r>
    </w:p>
    <w:p w:rsidR="00E572C9" w:rsidRDefault="00000000">
      <w:r>
        <w:rPr>
          <w:sz w:val="22"/>
          <w:szCs w:val="22"/>
        </w:rPr>
        <w:t>Analysedaten geprüft von:  Dr. Thomas Benkert</w:t>
      </w:r>
      <w:r>
        <w:tab/>
        <w:t xml:space="preserve"> </w:t>
      </w:r>
    </w:p>
    <w:p w:rsidR="00E572C9" w:rsidRDefault="00E572C9">
      <w:pPr>
        <w:rPr>
          <w:sz w:val="22"/>
        </w:rPr>
      </w:pPr>
    </w:p>
    <w:p w:rsidR="00E572C9" w:rsidRDefault="00E572C9">
      <w:pPr>
        <w:rPr>
          <w:sz w:val="22"/>
        </w:rPr>
      </w:pPr>
    </w:p>
    <w:p w:rsidR="00E572C9" w:rsidRDefault="00E572C9">
      <w:pPr>
        <w:rPr>
          <w:sz w:val="22"/>
          <w:szCs w:val="22"/>
          <w:lang w:val="en-US"/>
        </w:rPr>
      </w:pPr>
    </w:p>
    <w:sectPr w:rsidR="00E572C9">
      <w:headerReference w:type="even" r:id="rId7"/>
      <w:headerReference w:type="default" r:id="rId8"/>
      <w:footerReference w:type="even" r:id="rId9"/>
      <w:footerReference w:type="default" r:id="rId10"/>
      <w:headerReference w:type="first" r:id="rId11"/>
      <w:footerReference w:type="first" r:id="rId12"/>
      <w:pgSz w:w="11906" w:h="16838"/>
      <w:pgMar w:top="1531" w:right="1134" w:bottom="1134" w:left="1361" w:header="708" w:footer="708"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5495" w:rsidRDefault="00A65495">
      <w:r>
        <w:separator/>
      </w:r>
    </w:p>
  </w:endnote>
  <w:endnote w:type="continuationSeparator" w:id="0">
    <w:p w:rsidR="00A65495" w:rsidRDefault="00A6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FreeSan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76" w:type="dxa"/>
      <w:tblLayout w:type="fixed"/>
      <w:tblLook w:val="04A0" w:firstRow="1" w:lastRow="0" w:firstColumn="1" w:lastColumn="0" w:noHBand="0" w:noVBand="1"/>
    </w:tblPr>
    <w:tblGrid>
      <w:gridCol w:w="3823"/>
      <w:gridCol w:w="3402"/>
      <w:gridCol w:w="2551"/>
    </w:tblGrid>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color w:val="42A62A"/>
              <w:sz w:val="15"/>
              <w:szCs w:val="15"/>
            </w:rPr>
          </w:pPr>
          <w:r>
            <w:rPr>
              <w:rFonts w:eastAsia="Arial" w:cs="Arial"/>
              <w:b/>
              <w:bCs/>
              <w:color w:val="42A62A"/>
              <w:sz w:val="15"/>
              <w:szCs w:val="15"/>
            </w:rPr>
            <w:t>DyeNA Genetics GmbH</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Bankverbindung</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Regnitzweg 10 </w:t>
          </w:r>
          <w:r>
            <w:rPr>
              <w:rFonts w:eastAsia="Arial" w:cs="Arial"/>
              <w:color w:val="42A62A"/>
              <w:sz w:val="15"/>
              <w:szCs w:val="15"/>
            </w:rPr>
            <w:t>|</w:t>
          </w:r>
          <w:r>
            <w:rPr>
              <w:rFonts w:eastAsia="Arial" w:cs="Arial"/>
              <w:sz w:val="15"/>
              <w:szCs w:val="15"/>
            </w:rPr>
            <w:t xml:space="preserve"> 97422 Schweinfurt</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VR Bank Schweinfurt</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T 09721 9486610</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BIC: GENODEF1ATE</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USt-IdNr.: DE317729107</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IBAN: DE12790690100000933163</w:t>
          </w:r>
        </w:p>
      </w:tc>
    </w:tr>
  </w:tbl>
  <w:p w:rsidR="00E572C9" w:rsidRDefault="00E57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5495" w:rsidRDefault="00A65495">
      <w:r>
        <w:separator/>
      </w:r>
    </w:p>
  </w:footnote>
  <w:footnote w:type="continuationSeparator" w:id="0">
    <w:p w:rsidR="00A65495" w:rsidRDefault="00A6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rPr>
        <w:color w:val="42A62A"/>
        <w:sz w:val="22"/>
      </w:rPr>
    </w:pPr>
    <w:r>
      <w:rPr>
        <w:noProof/>
      </w:rPr>
      <mc:AlternateContent>
        <mc:Choice Requires="wpg">
          <w:drawing>
            <wp:anchor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6" y="16120"/>
                  <wp:lineTo x="16829" y="14066"/>
                  <wp:lineTo x="21464" y="12013"/>
                  <wp:lineTo x="21464"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icPr>
                    <pic:blipFill rotWithShape="1">
                      <a:blip r:embed="rId1"/>
                      <a:stretch/>
                    </pic:blipFill>
                    <pic:spPr bwMode="auto">
                      <a:xfrm>
                        <a:off x="0" y="0"/>
                        <a:ext cx="1418590" cy="93599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78 74630 77912 65120 99370 55616 99370 27134 91347 25778 22394 21690 25968 10815 23273 8093 2685 0 0 0" stroked="false">
              <w10:wrap type="tight"/>
              <v:imagedata r:id="rId2" o:title=""/>
              <o:lock v:ext="edit" rotation="t"/>
            </v:shape>
          </w:pict>
        </mc:Fallback>
      </mc:AlternateContent>
    </w:r>
    <w:r>
      <w:rPr>
        <w:color w:val="42A62A"/>
        <w:sz w:val="22"/>
      </w:rPr>
      <w:t>DyeNA Genetics GmbH</w:t>
    </w:r>
  </w:p>
  <w:p w:rsidR="00E572C9" w:rsidRDefault="00000000">
    <w:pPr>
      <w:pStyle w:val="Kopfzeile"/>
      <w:rPr>
        <w:color w:val="42A62A"/>
        <w:sz w:val="22"/>
      </w:rPr>
    </w:pPr>
    <w:r>
      <w:rPr>
        <w:color w:val="42A62A"/>
        <w:sz w:val="22"/>
      </w:rPr>
      <w:t>Regnitzweg 10</w:t>
    </w:r>
  </w:p>
  <w:p w:rsidR="00E572C9" w:rsidRDefault="00000000">
    <w:pPr>
      <w:pStyle w:val="Kopfzeile"/>
      <w:rPr>
        <w:color w:val="42A62A"/>
        <w:sz w:val="22"/>
      </w:rPr>
    </w:pPr>
    <w:r>
      <w:rPr>
        <w:color w:val="42A62A"/>
        <w:sz w:val="22"/>
      </w:rPr>
      <w:t xml:space="preserve">97422 Schweinfurt </w:t>
    </w:r>
  </w:p>
  <w:p w:rsidR="00E572C9" w:rsidRDefault="00000000">
    <w:pPr>
      <w:pStyle w:val="Kopfzeile"/>
    </w:pPr>
    <w:r>
      <w:rPr>
        <w:noProof/>
      </w:rPr>
      <mc:AlternateContent>
        <mc:Choice Requires="wpg">
          <w:drawing>
            <wp:anchor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w:r>
    <w:r>
      <w:rPr>
        <w:noProof/>
      </w:rPr>
      <mc:AlternateContent>
        <mc:Choice Requires="wpg">
          <w:drawing>
            <wp:anchor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w:r>
    <w:r>
      <w:rPr>
        <w:noProof/>
      </w:rPr>
      <mc:AlternateContent>
        <mc:Choice Requires="wpg">
          <w:drawing>
            <wp:anchor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C9"/>
    <w:rsid w:val="002F3DD3"/>
    <w:rsid w:val="00432FD6"/>
    <w:rsid w:val="006E04C6"/>
    <w:rsid w:val="00763794"/>
    <w:rsid w:val="009E6B8E"/>
    <w:rsid w:val="00A65495"/>
    <w:rsid w:val="00C65FA7"/>
    <w:rsid w:val="00DD7BFF"/>
    <w:rsid w:val="00E572C9"/>
    <w:rsid w:val="00EF1D3F"/>
    <w:rsid w:val="00EF1DA5"/>
    <w:rsid w:val="00FE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74AF2-5ECE-A348-A3F8-D88573B3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1248</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Thomas Benkert</cp:lastModifiedBy>
  <cp:revision>7</cp:revision>
  <dcterms:created xsi:type="dcterms:W3CDTF">2025-11-29T11:21:00Z</dcterms:created>
  <dcterms:modified xsi:type="dcterms:W3CDTF">2025-12-06T16:54:00Z</dcterms:modified>
  <dc:language>en-US</dc:language>
</cp:coreProperties>
</file>