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B250515002.MT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D250515002</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Entwurf</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16.05.2025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14.05.2025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16,1</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125,0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3,10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7,3</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390,0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D250515002</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14,52</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6,58</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45,30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Microthrix parvicella Gesamtzellzahl mit 14,52 x10⁸/ml leicht erhöht, die Lebendzellzahl mit 6,58 x10⁸/ml ist leicht gesunken. Der prozentuale Anteil lebender Zellen mit 45,3% ist reduziert, was darauf hinweist, dass die Microthrix-Population in der Biomasse aktuell weniger aktiv ist. Dies kann als abschwächende Wachstumsphase interpretiert werden und eine engmaschige mikroskopische Kontrolle wird weiterhin empfohlen. Sollte die Fädigkeit zeitnah weiter zunehmen wird eine erneute qPCR-Analyse empfohlen.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Dr. Thomas Benkert</w:t>
      </w:r>
      <w:r>
        <w:rPr>
          <w:sz w:val="22"/>
          <w:szCs w:val="22"/>
        </w:rPr>
        <w:tab/>
        <w:t xml:space="preserve"> </w:t>
      </w:r>
    </w:p>
    <w:p w:rsidR="00E572C9" w:rsidRDefault="00000000">
      <w:r>
        <w:rPr>
          <w:sz w:val="22"/>
          <w:szCs w:val="22"/>
        </w:rPr>
        <w:t>Analysedaten geprüft von:  Dr. Thomas Benkert</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