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77777777" w:rsidR="002D1F7A" w:rsidRDefault="00000000">
      <w:r>
        <w:fldChar w:fldCharType="begin"/>
      </w:r>
      <w:r>
        <w:rPr>
          <w:highlight w:val="yellow"/>
        </w:rPr>
        <w:instrText>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STADT BAD KISSINGEN </w:t>
      </w:r>
    </w:p>
    <w:p w14:paraId="45B351A4" w14:textId="77777777" w:rsidR="002D1F7A" w:rsidRDefault="00000000">
      <w:r>
        <w:t>Im Lindes 11</w:t>
      </w:r>
    </w:p>
    <w:p w14:paraId="0B4FE2D0" w14:textId="77777777" w:rsidR="002D1F7A" w:rsidRDefault="002D1F7A">
      <w:pPr>
        <w:rPr>
          <w:highlight w:val="yellow"/>
        </w:rPr>
      </w:pPr>
    </w:p>
    <w:p w14:paraId="12BCFE10" w14:textId="77777777" w:rsidR="002D1F7A" w:rsidRDefault="00000000">
      <w:r>
        <w:t>97688  Bad Kissingen</w:t>
      </w:r>
    </w:p>
    <w:p w14:paraId="776B5DA3" w14:textId="77777777" w:rsidR="002D1F7A" w:rsidRDefault="002D1F7A"/>
    <w:p w14:paraId="6CF42E66" w14:textId="77777777" w:rsidR="002D1F7A" w:rsidRDefault="00000000">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p>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77777777" w:rsidR="002D1F7A" w:rsidRDefault="00000000">
      <w:pPr>
        <w:rPr>
          <w:b/>
          <w:color w:val="42A62A"/>
        </w:rPr>
      </w:pPr>
      <w:r>
        <w:rPr>
          <w:b/>
        </w:rPr>
        <w:t>Befundnummer:</w:t>
      </w:r>
      <w:r>
        <w:rPr>
          <w:b/>
          <w:color w:val="3CA321"/>
        </w:rPr>
        <w:t xml:space="preserve"> </w:t>
      </w:r>
      <w:r>
        <w:fldChar w:fldCharType="begin"/>
      </w:r>
      <w:r>
        <w:rPr>
          <w:b/>
          <w:color w:val="3CA321"/>
        </w:rPr>
        <w:instrText>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B250515002/MT</w:t>
      </w:r>
      <w:r>
        <w:rPr>
          <w:b/>
          <w:color w:val="3CA321"/>
        </w:rPr>
        <w:fldChar w:fldCharType="end"/>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D250515002</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16.05.2025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14.05.2025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16,1</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125,0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3,10</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0,000</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7,3</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0,000</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0,000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begünstigt Blähschlamm</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04E999DE" w14:textId="65D2CADC" w:rsidR="00086387" w:rsidRPr="00086387" w:rsidRDefault="00086387" w:rsidP="00086387">
            <w:pPr>
              <w:tabs>
                <w:tab w:val="center" w:pos="1045"/>
              </w:tabs>
              <w:rPr>
                <w:rFonts w:eastAsia="Arial" w:cs="Arial"/>
                <w:color w:val="92D050"/>
                <w:sz w:val="16"/>
                <w:szCs w:val="16"/>
              </w:rPr>
            </w:pPr>
            <w:r w:rsidRPr="00086387">
              <w:rPr>
                <w:rFonts w:eastAsia="Arial" w:cs="Arial"/>
                <w:color w:val="92D050"/>
                <w:sz w:val="16"/>
                <w:szCs w:val="16"/>
              </w:rPr>
              <w:t>In Grün ange</w:t>
            </w:r>
            <w:r>
              <w:rPr>
                <w:rFonts w:eastAsia="Arial" w:cs="Arial"/>
                <w:color w:val="92D050"/>
                <w:sz w:val="16"/>
                <w:szCs w:val="16"/>
              </w:rPr>
              <w:t>ge</w:t>
            </w:r>
            <w:r w:rsidRPr="00086387">
              <w:rPr>
                <w:rFonts w:eastAsia="Arial" w:cs="Arial"/>
                <w:color w:val="92D050"/>
                <w:sz w:val="16"/>
                <w:szCs w:val="16"/>
              </w:rPr>
              <w:t xml:space="preserv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9555" w:type="dxa"/>
        <w:tblInd w:w="108" w:type="dxa"/>
        <w:tblLayout w:type="fixed"/>
        <w:tblLook w:val="04A0" w:firstRow="1" w:lastRow="0" w:firstColumn="1" w:lastColumn="0" w:noHBand="0" w:noVBand="1"/>
      </w:tblPr>
      <w:tblGrid>
        <w:gridCol w:w="2655"/>
        <w:gridCol w:w="2907"/>
        <w:gridCol w:w="2661"/>
        <w:gridCol w:w="1332"/>
      </w:tblGrid>
      <w:tr w:rsidR="009731CC" w14:paraId="002527A9" w14:textId="77777777">
        <w:trPr>
          <w:gridAfter w:val="2"/>
          <w:wAfter w:w="3993" w:type="dxa"/>
        </w:trPr>
        <w:tc>
          <w:tcPr>
            <w:tcW w:w="2655" w:type="dxa"/>
            <w:tcBorders>
              <w:top w:val="single" w:sz="4" w:space="0" w:color="7F7F7F"/>
              <w:left w:val="single" w:sz="4" w:space="0" w:color="7F7F7F"/>
              <w:bottom w:val="single" w:sz="6" w:space="0" w:color="7F7F7F"/>
              <w:right w:val="single" w:sz="6" w:space="0" w:color="7F7F7F"/>
            </w:tcBorders>
          </w:tcPr>
          <w:p w14:paraId="2F61AF04" w14:textId="77777777" w:rsidR="009731CC" w:rsidRDefault="009731CC">
            <w:pPr>
              <w:rPr>
                <w:b/>
                <w:bCs/>
              </w:rPr>
            </w:pPr>
            <w:r>
              <w:rPr>
                <w:rFonts w:eastAsia="Arial" w:cs="Arial"/>
                <w:b/>
                <w:bCs/>
                <w:sz w:val="20"/>
                <w:szCs w:val="20"/>
              </w:rPr>
              <w:t>Probennummer:</w:t>
            </w:r>
          </w:p>
        </w:tc>
        <w:tc>
          <w:tcPr>
            <w:tcW w:w="2907" w:type="dxa"/>
            <w:tcBorders>
              <w:top w:val="single" w:sz="4" w:space="0" w:color="7F7F7F"/>
              <w:left w:val="single" w:sz="6" w:space="0" w:color="7F7F7F"/>
              <w:bottom w:val="single" w:sz="6" w:space="0" w:color="7F7F7F"/>
              <w:right w:val="single" w:sz="6" w:space="0" w:color="7F7F7F"/>
            </w:tcBorders>
          </w:tcPr>
          <w:p w14:paraId="5183F056" w14:textId="77777777" w:rsidR="009731CC" w:rsidRDefault="009731CC">
            <w:pPr>
              <w:rPr>
                <w:b/>
                <w:bCs/>
                <w:color w:val="42A62A"/>
                <w:sz w:val="20"/>
                <w:szCs w:val="20"/>
              </w:rPr>
            </w:pPr>
            <w:r>
              <w:rPr>
                <w:rFonts w:eastAsia="Arial" w:cs="Arial"/>
                <w:b/>
                <w:bCs/>
                <w:color w:val="42A62A"/>
                <w:sz w:val="20"/>
                <w:szCs w:val="20"/>
              </w:rPr>
              <w:t>D250515002</w:t>
            </w:r>
          </w:p>
        </w:tc>
      </w:tr>
      <w:tr w:rsidR="002D1F7A" w14:paraId="1227B8A6" w14:textId="77777777">
        <w:tc>
          <w:tcPr>
            <w:tcW w:w="2655" w:type="dxa"/>
            <w:tcBorders>
              <w:top w:val="single" w:sz="6" w:space="0" w:color="7F7F7F"/>
              <w:left w:val="single" w:sz="4" w:space="0" w:color="7F7F7F"/>
              <w:bottom w:val="single" w:sz="6" w:space="0" w:color="7F7F7F"/>
              <w:right w:val="single" w:sz="6" w:space="0" w:color="7F7F7F"/>
            </w:tcBorders>
          </w:tcPr>
          <w:p w14:paraId="2C6F1FD0" w14:textId="77777777" w:rsidR="002D1F7A" w:rsidRDefault="00000000">
            <w:pPr>
              <w:rPr>
                <w:b/>
                <w:sz w:val="18"/>
                <w:szCs w:val="18"/>
              </w:rPr>
            </w:pPr>
            <w:r>
              <w:rPr>
                <w:rFonts w:eastAsia="Arial" w:cs="Arial"/>
                <w:b/>
                <w:sz w:val="18"/>
                <w:szCs w:val="18"/>
              </w:rPr>
              <w:t>Bakteriengruppe</w:t>
            </w:r>
          </w:p>
        </w:tc>
        <w:tc>
          <w:tcPr>
            <w:tcW w:w="2907" w:type="dxa"/>
            <w:tcBorders>
              <w:top w:val="single" w:sz="6" w:space="0" w:color="7F7F7F"/>
              <w:left w:val="single" w:sz="6" w:space="0" w:color="7F7F7F"/>
              <w:bottom w:val="single" w:sz="6" w:space="0" w:color="7F7F7F"/>
              <w:right w:val="single" w:sz="6" w:space="0" w:color="7F7F7F"/>
            </w:tcBorders>
          </w:tcPr>
          <w:p w14:paraId="3E2448DA" w14:textId="77777777" w:rsidR="002D1F7A" w:rsidRDefault="00000000">
            <w:pPr>
              <w:jc w:val="center"/>
              <w:rPr>
                <w:b/>
                <w:sz w:val="18"/>
                <w:szCs w:val="18"/>
              </w:rPr>
            </w:pPr>
            <w:r>
              <w:rPr>
                <w:rFonts w:eastAsia="Arial" w:cs="Arial"/>
                <w:b/>
                <w:sz w:val="18"/>
                <w:szCs w:val="18"/>
              </w:rPr>
              <w:t xml:space="preserve">Zellzahl gesamt </w:t>
            </w:r>
          </w:p>
          <w:p w14:paraId="110BB6B4"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1" w:type="dxa"/>
            <w:tcBorders>
              <w:top w:val="single" w:sz="6" w:space="0" w:color="7F7F7F"/>
              <w:left w:val="single" w:sz="6" w:space="0" w:color="7F7F7F"/>
              <w:bottom w:val="single" w:sz="6" w:space="0" w:color="7F7F7F"/>
              <w:right w:val="single" w:sz="6" w:space="0" w:color="7F7F7F"/>
            </w:tcBorders>
          </w:tcPr>
          <w:p w14:paraId="096CD343" w14:textId="77777777" w:rsidR="002D1F7A" w:rsidRDefault="00000000">
            <w:pPr>
              <w:jc w:val="center"/>
              <w:rPr>
                <w:b/>
                <w:sz w:val="18"/>
                <w:szCs w:val="18"/>
              </w:rPr>
            </w:pPr>
            <w:r>
              <w:rPr>
                <w:rFonts w:eastAsia="Arial" w:cs="Arial"/>
                <w:b/>
                <w:sz w:val="18"/>
                <w:szCs w:val="18"/>
              </w:rPr>
              <w:t>Zellzahl lebend</w:t>
            </w:r>
          </w:p>
          <w:p w14:paraId="2EF169D6"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14:paraId="7E760EEE" w14:textId="77777777" w:rsidR="002D1F7A" w:rsidRDefault="00000000">
            <w:pPr>
              <w:jc w:val="center"/>
              <w:rPr>
                <w:b/>
                <w:sz w:val="18"/>
                <w:szCs w:val="18"/>
              </w:rPr>
            </w:pPr>
            <w:r>
              <w:rPr>
                <w:rFonts w:eastAsia="Arial" w:cs="Arial"/>
                <w:b/>
                <w:sz w:val="18"/>
                <w:szCs w:val="18"/>
              </w:rPr>
              <w:t>% Lebend</w:t>
            </w:r>
          </w:p>
        </w:tc>
      </w:tr>
      <w:tr w:rsidR="002D1F7A" w14:paraId="38743366" w14:textId="77777777">
        <w:tc>
          <w:tcPr>
            <w:tcW w:w="2655" w:type="dxa"/>
            <w:tcBorders>
              <w:top w:val="single" w:sz="6" w:space="0" w:color="7F7F7F"/>
              <w:left w:val="single" w:sz="4" w:space="0" w:color="7F7F7F"/>
              <w:bottom w:val="single" w:sz="6" w:space="0" w:color="7F7F7F"/>
              <w:right w:val="single" w:sz="6" w:space="0" w:color="7F7F7F"/>
            </w:tcBorders>
          </w:tcPr>
          <w:p w14:paraId="18E37945" w14:textId="77777777" w:rsidR="002D1F7A" w:rsidRDefault="00000000">
            <w:pPr>
              <w:tabs>
                <w:tab w:val="center" w:pos="813"/>
              </w:tabs>
              <w:rPr>
                <w:rFonts w:ascii="Calibri" w:eastAsia="Arial" w:hAnsi="Calibri" w:cs="Arial"/>
              </w:rPr>
            </w:pPr>
            <w:r>
              <w:rPr>
                <w:rFonts w:eastAsia="Arial" w:cs="Arial"/>
                <w:sz w:val="20"/>
                <w:szCs w:val="20"/>
              </w:rPr>
              <w:t>Microtrhix parvicella</w:t>
            </w:r>
          </w:p>
        </w:tc>
        <w:tc>
          <w:tcPr>
            <w:tcW w:w="2907" w:type="dxa"/>
            <w:tcBorders>
              <w:top w:val="single" w:sz="6" w:space="0" w:color="7F7F7F"/>
              <w:left w:val="single" w:sz="6" w:space="0" w:color="7F7F7F"/>
              <w:bottom w:val="single" w:sz="6" w:space="0" w:color="7F7F7F"/>
              <w:right w:val="single" w:sz="6" w:space="0" w:color="7F7F7F"/>
            </w:tcBorders>
          </w:tcPr>
          <w:p w14:paraId="69B0120C" w14:textId="77777777" w:rsidR="002D1F7A" w:rsidRDefault="00000000">
            <w:pPr>
              <w:jc w:val="center"/>
              <w:rPr>
                <w:sz w:val="20"/>
                <w:szCs w:val="20"/>
                <w:highlight w:val="yellow"/>
              </w:rPr>
            </w:pPr>
            <w:r>
              <w:rPr>
                <w:rFonts w:eastAsia="Arial" w:cs="Arial"/>
                <w:sz w:val="20"/>
                <w:szCs w:val="20"/>
              </w:rPr>
              <w:t>14,52</w:t>
            </w:r>
          </w:p>
        </w:tc>
        <w:tc>
          <w:tcPr>
            <w:tcW w:w="2661" w:type="dxa"/>
            <w:tcBorders>
              <w:top w:val="single" w:sz="6" w:space="0" w:color="7F7F7F"/>
              <w:left w:val="single" w:sz="6" w:space="0" w:color="7F7F7F"/>
              <w:bottom w:val="single" w:sz="6" w:space="0" w:color="7F7F7F"/>
              <w:right w:val="single" w:sz="6" w:space="0" w:color="7F7F7F"/>
            </w:tcBorders>
          </w:tcPr>
          <w:p w14:paraId="22B1493A" w14:textId="77777777" w:rsidR="002D1F7A" w:rsidRDefault="00000000">
            <w:pPr>
              <w:jc w:val="center"/>
              <w:rPr>
                <w:color w:val="42A62A"/>
                <w:sz w:val="20"/>
                <w:szCs w:val="20"/>
                <w:highlight w:val="yellow"/>
              </w:rPr>
            </w:pPr>
            <w:r>
              <w:rPr>
                <w:rFonts w:eastAsia="Arial" w:cs="Arial"/>
                <w:color w:val="42A62A"/>
                <w:sz w:val="20"/>
                <w:szCs w:val="20"/>
              </w:rPr>
              <w:t>6,58</w:t>
            </w:r>
          </w:p>
        </w:tc>
        <w:tc>
          <w:tcPr>
            <w:tcW w:w="1332" w:type="dxa"/>
            <w:tcBorders>
              <w:top w:val="single" w:sz="6" w:space="0" w:color="7F7F7F"/>
              <w:left w:val="single" w:sz="6" w:space="0" w:color="7F7F7F"/>
              <w:bottom w:val="single" w:sz="6" w:space="0" w:color="7F7F7F"/>
              <w:right w:val="single" w:sz="6" w:space="0" w:color="7F7F7F"/>
            </w:tcBorders>
          </w:tcPr>
          <w:p w14:paraId="0652FB02" w14:textId="77777777" w:rsidR="002D1F7A" w:rsidRDefault="00000000">
            <w:pPr>
              <w:jc w:val="center"/>
              <w:rPr>
                <w:color w:val="42A62A"/>
                <w:sz w:val="20"/>
                <w:szCs w:val="20"/>
                <w:highlight w:val="yellow"/>
              </w:rPr>
            </w:pPr>
            <w:r>
              <w:rPr>
                <w:rFonts w:eastAsia="Arial" w:cs="Arial"/>
                <w:color w:val="42A62A"/>
                <w:sz w:val="20"/>
                <w:szCs w:val="20"/>
              </w:rPr>
              <w:t>45,30</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zum vorherigen Befund ist die Microthrix parvicella Gesamtzellzahl mit 14,52 x10⁸/ml leicht erhöht, die Lebendzellzahl mit 6,58 x10⁸/ml ist leicht gesunken. Der prozentuale Anteil lebender Zellen mit 45,3% ist reduziert, was darauf hinweist, dass die Microthrix-Population in der Biomasse aktuell weniger aktiv ist. Dies kann als abschwächende Wachstumsphase interpretiert werden und eine engmaschige mikroskopische Kontrolle wird weiterhin empfohlen. Sollte die Fädigkeit zeitnah weiter zunehmen wird eine erneute qPCR-Analyse empfohlen.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Dr. Thomas Benkert</w:t>
      </w:r>
      <w:r>
        <w:rPr>
          <w:sz w:val="22"/>
          <w:szCs w:val="22"/>
        </w:rPr>
        <w:tab/>
        <w:t xml:space="preserve"> </w:t>
      </w:r>
    </w:p>
    <w:p w14:paraId="134C7AE9" w14:textId="77777777" w:rsidR="002D1F7A" w:rsidRDefault="00000000">
      <w:r>
        <w:rPr>
          <w:sz w:val="22"/>
          <w:szCs w:val="22"/>
        </w:rPr>
        <w:t>Analysedaten geprüft von:  Dr. Thomas Benkert</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Default="002D1F7A">
      <w:pPr>
        <w:rPr>
          <w:sz w:val="22"/>
          <w:lang w:val="en-US"/>
        </w:rPr>
      </w:pPr>
    </w:p>
    <w:sectPr w:rsidR="002D1F7A">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4853" w14:textId="77777777" w:rsidR="00234926" w:rsidRDefault="00234926">
      <w:r>
        <w:separator/>
      </w:r>
    </w:p>
  </w:endnote>
  <w:endnote w:type="continuationSeparator" w:id="0">
    <w:p w14:paraId="3229B800" w14:textId="77777777" w:rsidR="00234926" w:rsidRDefault="002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Noto Sans">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A65D" w14:textId="77777777" w:rsidR="00234926" w:rsidRDefault="00234926">
      <w:r>
        <w:separator/>
      </w:r>
    </w:p>
  </w:footnote>
  <w:footnote w:type="continuationSeparator" w:id="0">
    <w:p w14:paraId="136F959E" w14:textId="77777777" w:rsidR="00234926" w:rsidRDefault="0023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86387"/>
    <w:rsid w:val="00234926"/>
    <w:rsid w:val="002D1F7A"/>
    <w:rsid w:val="009731CC"/>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Schillinger, Rolf</cp:lastModifiedBy>
  <cp:revision>26</cp:revision>
  <dcterms:created xsi:type="dcterms:W3CDTF">2025-10-13T15:57:00Z</dcterms:created>
  <dcterms:modified xsi:type="dcterms:W3CDTF">2025-11-09T21:49:00Z</dcterms:modified>
  <dc:language>en-US</dc:language>
</cp:coreProperties>
</file>