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${panel_type} (Befundnummer ${result_nr})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D250515002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14.05.2025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2015-05-16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125.000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7.300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D250515002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