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B250205002.MT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D250205002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AB-2410141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05.02.2025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04.02.2025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3,70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D250205002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8,78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3,58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40,80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Befunden ist die Microthrix parvicella Gesamtzellzahl mit 8,79x10⁸/ml erhöht und die Lebendzellzahl mit 3,58 x10⁸/ml unverändert. Der prozentuale Anteil der Lebendzellzahl mit 40,8% ist ebenfalls reduziert und deutet auf eine verringerte Anzahl an aktiven Microthrix parvicella in der Biomasse hin. Die Lebensbedingungen für diese fadenförmigen Bakterien sind aktuell als leicht ungünstig zu bewerten.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