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OLE_LINK2"/>
      <w:bookmarkStart w:id="1" w:name="OLE_LINK3"/>
      <w:bookmarkStart w:id="2" w:name="OLE_LINK2"/>
      <w:bookmarkStart w:id="3" w:name="OLE_LINK3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/>
        <w:t>STADT BAD KISSINGEN </w:t>
      </w:r>
    </w:p>
    <w:p>
      <w:pPr>
        <w:pStyle w:val="Normal"/>
        <w:rPr/>
      </w:pPr>
      <w:r>
        <w:rPr/>
        <w:t>Im Lindes 11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97688  Bad Kissingen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/>
      <w:r>
        <w:rPr>
          <w:highlight w:val="yellow"/>
        </w:rPr>
        <w:fldChar w:fldCharType="end"/>
      </w:r>
      <w:r>
        <w:rPr>
          <w:highlight w:val="yello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</w:r>
      <w:r>
        <w:rPr>
          <w:b/>
          <w:color w:val="3CA321"/>
        </w:rPr>
        <w:fldChar w:fldCharType="separate"/>
      </w:r>
      <w:r>
        <w:rPr>
          <w:b/>
          <w:color w:val="3CA321"/>
        </w:rPr>
      </w:r>
      <w:r>
        <w:rPr>
          <w:b/>
          <w:color w:val="3CA321"/>
          <w:u w:val="single"/>
        </w:rPr>
        <w:t>B241212008/MTr</w:t>
      </w:r>
      <w:r>
        <w:rPr>
          <w:b/>
          <w:color w:val="3CA321"/>
        </w:rPr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>
      <w:pPr>
        <w:pStyle w:val="Normal"/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D241212008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Kunden- und Probenkennziffer: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Tabellenraster"/>
        <w:tblW w:w="951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52"/>
        <w:gridCol w:w="2351"/>
        <w:gridCol w:w="2697"/>
        <w:gridCol w:w="1913"/>
      </w:tblGrid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491040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Auftragsnummer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KA Bad Kissingen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Datum Analyse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12.12.2024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BB1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Probenart / Matrix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jc w:val="end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10.12.2024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Prozessadditive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jc w:val="end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Kundenmessdaten (Probe):</w:t>
      </w:r>
    </w:p>
    <w:p>
      <w:pPr>
        <w:pStyle w:val="Normal"/>
        <w:rPr/>
      </w:pPr>
      <w:r>
        <w:rPr/>
      </w:r>
    </w:p>
    <w:tbl>
      <w:tblPr>
        <w:tblStyle w:val="Tabellenraster"/>
        <w:tblW w:w="94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463"/>
        <w:gridCol w:w="1483"/>
        <w:gridCol w:w="2574"/>
        <w:gridCol w:w="2978"/>
      </w:tblGrid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kern w:val="0"/>
                <w:sz w:val="16"/>
                <w:szCs w:val="20"/>
                <w:lang w:val="de-DE" w:eastAsia="de-DE" w:bidi="ar-SA"/>
              </w:rPr>
              <w:t>(°C)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 w:ascii="Calibri" w:hAnsi="Calibri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12,0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right" w:pos="2501" w:leader="none"/>
              </w:tabs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150,0</w:t>
            </w:r>
          </w:p>
        </w:tc>
      </w:tr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TS (g/l)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3,40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NH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4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0,010</w:t>
            </w:r>
          </w:p>
        </w:tc>
      </w:tr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pH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2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0,015</w:t>
            </w:r>
          </w:p>
        </w:tc>
      </w:tr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Schlammvolumen</w:t>
            </w: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(ml/l)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510,0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0"/>
                <w:szCs w:val="20"/>
                <w:lang w:val="en-US"/>
              </w:rPr>
            </w:pPr>
            <w:bookmarkStart w:id="4" w:name="OLE_LINK1"/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3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>N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1,200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Normal"/>
        <w:rPr>
          <w:b/>
          <w:bCs/>
          <w:color w:themeColor="text1" w:themeTint="80" w:val="7F7F7F"/>
          <w:sz w:val="20"/>
          <w:szCs w:val="20"/>
        </w:rPr>
      </w:pPr>
      <w:r>
        <w:rPr>
          <w:b/>
          <w:bCs/>
          <w:color w:themeColor="text1" w:themeTint="80" w:val="7F7F7F"/>
          <w:sz w:val="20"/>
          <w:szCs w:val="20"/>
        </w:rPr>
        <w:t>Abkürzungen/Erklärungen:</w:t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</w:r>
    </w:p>
    <w:tbl>
      <w:tblPr>
        <w:tblStyle w:val="Tabellenraster"/>
        <w:tblW w:w="92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07"/>
        <w:gridCol w:w="2307"/>
        <w:gridCol w:w="2307"/>
        <w:gridCol w:w="2307"/>
      </w:tblGrid>
      <w:tr>
        <w:trPr/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uppressAutoHyphens w:val="true"/>
              <w:spacing w:before="0" w:after="0"/>
              <w:jc w:val="start"/>
              <w:rPr>
                <w:b/>
                <w:bCs/>
                <w:color w:themeColor="text1" w:themeTint="80" w:val="7F7F7F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MTR</w:t>
              <w:tab/>
            </w:r>
          </w:p>
        </w:tc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uppressAutoHyphens w:val="true"/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Fadenförmiges Bakterium </w:t>
            </w:r>
            <w:r>
              <w:rPr>
                <w:rFonts w:eastAsia="Arial" w:cs="Arial"/>
                <w:color w:themeColor="text1" w:themeTint="80" w:val="7F7F7F"/>
                <w:kern w:val="0"/>
                <w:sz w:val="15"/>
                <w:szCs w:val="15"/>
                <w:lang w:val="de-DE" w:eastAsia="de-DE" w:bidi="ar-SA"/>
              </w:rPr>
              <w:tab/>
            </w:r>
          </w:p>
        </w:tc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bCs/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/>
            </w:r>
          </w:p>
        </w:tc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/>
            </w:r>
          </w:p>
        </w:tc>
      </w:tr>
    </w:tbl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val="42A62A"/>
          <w:sz w:val="15"/>
          <w:szCs w:val="15"/>
          <w:highlight w:val="yellow"/>
        </w:rPr>
      </w:pPr>
      <w:r>
        <w:rPr>
          <w:color w:val="42A62A"/>
          <w:sz w:val="15"/>
          <w:szCs w:val="15"/>
          <w:highlight w:val="yellow"/>
        </w:rPr>
        <w:t xml:space="preserve">In Grün angebende Werte geben die Analysendaten für lebende/aktive Bakterienzellen an 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  <w:highlight w:val="yellow"/>
        </w:rPr>
        <w:t>Die Mengenangaben sind in 10</w:t>
      </w:r>
      <w:r>
        <w:rPr>
          <w:color w:themeColor="text1" w:themeTint="80" w:val="7F7F7F"/>
          <w:sz w:val="15"/>
          <w:szCs w:val="15"/>
          <w:highlight w:val="yellow"/>
          <w:vertAlign w:val="superscript"/>
        </w:rPr>
        <w:t>8</w:t>
      </w:r>
      <w:r>
        <w:rPr>
          <w:color w:themeColor="text1" w:themeTint="80" w:val="7F7F7F"/>
          <w:sz w:val="15"/>
          <w:szCs w:val="15"/>
          <w:highlight w:val="yellow"/>
        </w:rPr>
        <w:t xml:space="preserve"> Bakterien/ml dargestellt. Die Mengenangabe 10</w:t>
      </w:r>
      <w:r>
        <w:rPr>
          <w:color w:themeColor="text1" w:themeTint="80" w:val="7F7F7F"/>
          <w:sz w:val="15"/>
          <w:szCs w:val="15"/>
          <w:highlight w:val="yellow"/>
          <w:vertAlign w:val="superscript"/>
        </w:rPr>
        <w:t>8</w:t>
      </w:r>
      <w:r>
        <w:rPr>
          <w:color w:themeColor="text1" w:themeTint="80" w:val="7F7F7F"/>
          <w:sz w:val="15"/>
          <w:szCs w:val="15"/>
          <w:highlight w:val="yellow"/>
        </w:rPr>
        <w:t xml:space="preserve"> entspricht Einhundertmillionen, ein Wert z.B. von 4,5 x10</w:t>
      </w:r>
      <w:r>
        <w:rPr>
          <w:color w:themeColor="text1" w:themeTint="80" w:val="7F7F7F"/>
          <w:sz w:val="15"/>
          <w:szCs w:val="15"/>
          <w:highlight w:val="yellow"/>
          <w:vertAlign w:val="superscript"/>
        </w:rPr>
        <w:t>8</w:t>
      </w:r>
      <w:r>
        <w:rPr>
          <w:color w:themeColor="text1" w:themeTint="80" w:val="7F7F7F"/>
          <w:sz w:val="15"/>
          <w:szCs w:val="15"/>
          <w:highlight w:val="yellow"/>
        </w:rPr>
        <w:t xml:space="preserve"> Bakterien pro ml entspricht Vierhundertfünfzigmillionen Bakterienzellen pro Milliliter.</w:t>
      </w:r>
      <w:r>
        <w:rPr>
          <w:color w:themeColor="text1" w:themeTint="80" w:val="7F7F7F"/>
          <w:sz w:val="15"/>
          <w:szCs w:val="15"/>
        </w:rPr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Ergebnisse: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Tabellenraster"/>
        <w:tblW w:w="1006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841"/>
        <w:gridCol w:w="2019"/>
        <w:gridCol w:w="1843"/>
        <w:gridCol w:w="1277"/>
        <w:gridCol w:w="1559"/>
        <w:gridCol w:w="1526"/>
      </w:tblGrid>
      <w:tr>
        <w:trPr/>
        <w:tc>
          <w:tcPr>
            <w:tcW w:w="1841" w:type="dxa"/>
            <w:tcBorders>
              <w:top w:val="single" w:sz="4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de-DE" w:eastAsia="de-DE" w:bidi="ar-SA"/>
              </w:rPr>
              <w:t>Probennummer:</w:t>
            </w:r>
          </w:p>
        </w:tc>
        <w:tc>
          <w:tcPr>
            <w:tcW w:w="2019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kern w:val="0"/>
                <w:sz w:val="20"/>
                <w:szCs w:val="20"/>
                <w:lang w:val="de-DE" w:eastAsia="de-DE" w:bidi="ar-SA"/>
              </w:rPr>
              <w:t>D241212008</w:t>
            </w:r>
          </w:p>
        </w:tc>
        <w:tc>
          <w:tcPr>
            <w:tcW w:w="1843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 w:ascii="Calibri" w:hAnsi="Calibri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277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 w:ascii="Calibri" w:hAnsi="Calibri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55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52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W w:w="1841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Bakteriengruppe</w:t>
            </w:r>
          </w:p>
        </w:tc>
        <w:tc>
          <w:tcPr>
            <w:tcW w:w="201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 xml:space="preserve">Zellzahl gesamt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843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Zellzahl lebend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277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% Lebend</w:t>
            </w:r>
          </w:p>
        </w:tc>
        <w:tc>
          <w:tcPr>
            <w:tcW w:w="155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p1"/>
              <w:widowControl/>
              <w:spacing w:before="0"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Ratio</w:t>
            </w:r>
          </w:p>
          <w:p>
            <w:pPr>
              <w:pStyle w:val="p1"/>
              <w:widowControl/>
              <w:spacing w:before="0" w:after="0"/>
              <w:jc w:val="center"/>
              <w:rPr>
                <w:kern w:val="0"/>
                <w:lang w:val="de-DE" w:eastAsia="de-DE" w:bidi="ar-SA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Nitrotoga/NOB</w:t>
            </w:r>
          </w:p>
        </w:tc>
        <w:tc>
          <w:tcPr>
            <w:tcW w:w="1526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p1"/>
              <w:widowControl/>
              <w:spacing w:before="0"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Ratio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AOB/NOB</w:t>
            </w:r>
          </w:p>
        </w:tc>
      </w:tr>
      <w:tr>
        <w:trPr/>
        <w:tc>
          <w:tcPr>
            <w:tcW w:w="1841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813" w:leader="none"/>
              </w:tabs>
              <w:suppressAutoHyphens w:val="true"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 w:ascii="Calibri" w:hAnsi="Calibri"/>
                <w:kern w:val="0"/>
                <w:sz w:val="20"/>
                <w:szCs w:val="20"/>
                <w:lang w:val="de-DE" w:eastAsia="de-DE" w:bidi="ar-SA"/>
              </w:rPr>
              <w:t>Microtrhix parvicella</w:t>
            </w:r>
          </w:p>
        </w:tc>
        <w:tc>
          <w:tcPr>
            <w:tcW w:w="201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3,47</w:t>
            </w:r>
          </w:p>
        </w:tc>
        <w:tc>
          <w:tcPr>
            <w:tcW w:w="1843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3,03</w:t>
            </w:r>
          </w:p>
        </w:tc>
        <w:tc>
          <w:tcPr>
            <w:tcW w:w="1277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0,87</w:t>
            </w:r>
          </w:p>
        </w:tc>
        <w:tc>
          <w:tcPr>
            <w:tcW w:w="155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highlight w:val="yellow"/>
                <w:lang w:val="de-DE" w:eastAsia="de-DE" w:bidi="ar-SA"/>
              </w:rPr>
              <w:t>${r_name#1}</w:t>
            </w:r>
          </w:p>
        </w:tc>
        <w:tc>
          <w:tcPr>
            <w:tcW w:w="1526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highlight w:val="yellow"/>
                <w:lang w:val="de-DE" w:eastAsia="de-DE" w:bidi="ar-SA"/>
              </w:rPr>
              <w:t>${r_value#1}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lenraster"/>
        <w:tblW w:w="940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702"/>
        <w:gridCol w:w="4702"/>
      </w:tblGrid>
      <w:tr>
        <w:trPr/>
        <w:tc>
          <w:tcPr>
            <w:tcW w:w="470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Auswertung</w:t>
            </w:r>
          </w:p>
        </w:tc>
        <w:tc>
          <w:tcPr>
            <w:tcW w:w="470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Ergebnis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Fazit: </w:t>
      </w:r>
      <w:r>
        <w:rPr>
          <w:rFonts w:cs="Calibri" w:ascii="Calibri" w:hAnsi="Calibri"/>
          <w:sz w:val="22"/>
          <w:szCs w:val="22"/>
        </w:rPr>
        <w:t xml:space="preserve"> Die Microthrix parvicella Gesamtzellzahl mit 3,47x108/ml ist seit der letzten Analyse um ca. 30%</w:t>
        <w:br/>
        <w:t>reduziert, die Lebendzellzahl mit 3,02 x108/ml ist fast unverändert. Der prozentuale Anteil der Lebendzellzahl</w:t>
        <w:br/>
        <w:t>mit 87,2% ist deutlich erhöht und deutet auf mehr aktive Microthrix parvicella in der Biomasse und auf gute</w:t>
        <w:br/>
        <w:t>bis sehr gute Lebensbedingungen für diese fadenförmigen Bakterien hin. </w:t>
      </w:r>
    </w:p>
    <w:p>
      <w:pPr>
        <w:pStyle w:val="Normal"/>
        <w:rPr>
          <w:i/>
          <w:i/>
          <w:color w:themeColor="text1" w:themeTint="80" w:val="7F7F7F"/>
          <w:sz w:val="22"/>
          <w:szCs w:val="22"/>
        </w:rPr>
      </w:pPr>
      <w:r>
        <w:rPr>
          <w:i/>
          <w:color w:themeColor="text1" w:themeTint="80" w:val="7F7F7F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Analyse durchgeführt von:  ${analyticsuser}</w:t>
        <w:tab/>
        <w:t xml:space="preserve"> </w:t>
      </w:r>
    </w:p>
    <w:p>
      <w:pPr>
        <w:pStyle w:val="Normal"/>
        <w:rPr/>
      </w:pPr>
      <w:r>
        <w:rPr>
          <w:sz w:val="22"/>
          <w:szCs w:val="22"/>
        </w:rPr>
        <w:t>Analysedaten geprüft von:  ${signedoffby}</w:t>
      </w:r>
      <w:r>
        <w:rPr/>
        <w:tab/>
        <w:t xml:space="preserve"> </w:t>
      </w:r>
      <w:bookmarkEnd w:id="2"/>
      <w:bookmarkEnd w:id="3"/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61" w:right="1134" w:gutter="0" w:header="708" w:top="1531" w:footer="708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ucida Grande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Helvetica">
    <w:altName w:val="Arial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lenraster"/>
      <w:tblW w:w="940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1214"/>
      <w:gridCol w:w="1425"/>
      <w:gridCol w:w="1071"/>
      <w:gridCol w:w="1383"/>
      <w:gridCol w:w="1940"/>
      <w:gridCol w:w="1070"/>
      <w:gridCol w:w="1302"/>
    </w:tblGrid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94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</w:tr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sz w:val="12"/>
            </w:rPr>
          </w:pPr>
          <w:r>
            <w:rPr>
              <w:rFonts w:eastAsia="Arial" w:cs="Arial"/>
              <w:kern w:val="0"/>
              <w:sz w:val="12"/>
              <w:szCs w:val="24"/>
              <w:lang w:val="de-DE" w:eastAsia="de-DE" w:bidi="ar-SA"/>
            </w:rPr>
          </w:r>
        </w:p>
      </w:tc>
      <w:tc>
        <w:tcPr>
          <w:tcW w:w="194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lenraster"/>
      <w:tblW w:w="97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3823"/>
      <w:gridCol w:w="3402"/>
      <w:gridCol w:w="2551"/>
    </w:tblGrid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 w:ascii="Calibri" w:hAnsi="Calibri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DyeNA Genetics GmbH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 w:ascii="Calibri" w:hAnsi="Calibri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Geschäftsführer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 w:ascii="Calibri" w:hAnsi="Calibri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Bankverbindung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 w:ascii="Calibri" w:hAnsi="Calibri"/>
              <w:color w:val="42A62A"/>
              <w:kern w:val="0"/>
              <w:sz w:val="15"/>
              <w:szCs w:val="15"/>
              <w:lang w:val="de-DE" w:eastAsia="de-DE" w:bidi="ar-SA"/>
            </w:rPr>
            <w:t>|</w:t>
          </w: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 xml:space="preserve"> 97422 Schweinfurt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VR Bank Schweinfurt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T 09721 9486610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Amtsgericht Schweinfurt, HRB 7772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BIC: GENODEF1ATE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 w:ascii="Calibri" w:hAnsi="Calibri"/>
              <w:color w:val="42A62A"/>
              <w:kern w:val="0"/>
              <w:sz w:val="15"/>
              <w:szCs w:val="15"/>
              <w:lang w:val="en-US" w:eastAsia="de-DE" w:bidi="ar-SA"/>
            </w:rPr>
            <w:t>|</w:t>
          </w: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 xml:space="preserve"> dyena-genetics.de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>USt-IdNr.: DE317729107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>IBAN: DE12790690100000933163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42A62A"/>
        <w:sz w:val="22"/>
      </w:rPr>
    </w:pPr>
    <w:r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42"/>
              <wp:lineTo x="1161" y="4686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22" y="16120"/>
              <wp:lineTo x="16829" y="14067"/>
              <wp:lineTo x="21472" y="12013"/>
              <wp:lineTo x="21472" y="5861"/>
              <wp:lineTo x="19731" y="5568"/>
              <wp:lineTo x="4837" y="4686"/>
              <wp:lineTo x="5609" y="2342"/>
              <wp:lineTo x="5028" y="1755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2A62A"/>
        <w:sz w:val="22"/>
      </w:rPr>
      <w:t>DyeNA Genetics GmbH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>Regnitzweg 10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>
    <w:pPr>
      <w:pStyle w:val="Header"/>
      <w:rPr/>
    </w:pPr>
    <w:r>
      <w:rPr/>
      <mc:AlternateContent>
        <mc:Choice Requires="wps">
          <w:drawing>
            <wp:anchor behindDoc="1" distT="22860" distB="63500" distL="43815" distR="43815" simplePos="0" locked="0" layoutInCell="0" allowOverlap="1" relativeHeight="2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23495" distB="64135" distL="43815" distR="43815" simplePos="0" locked="0" layoutInCell="0" allowOverlap="1" relativeHeight="3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22860" distB="63500" distL="43180" distR="43815" simplePos="0" locked="0" layoutInCell="0" allowOverlap="1" relativeHeight="4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7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ajorHAnsi" w:cstheme="minorBidi" w:eastAsiaTheme="minorEastAsia" w:hAnsiTheme="majorHAnsi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365F91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365F91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berschrift5Zchn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berschrift6Zchn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berschrift2Zchn" w:customStyle="1">
    <w:name w:val="Überschrift 2 Zchn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berschrift3Zchn" w:customStyle="1">
    <w:name w:val="Überschrift 3 Zchn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berschrift4Zchn" w:customStyle="1">
    <w:name w:val="Überschrift 4 Zchn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berschrift5Zchn" w:customStyle="1">
    <w:name w:val="Überschrift 5 Zchn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berschrift6Zchn" w:customStyle="1">
    <w:name w:val="Überschrift 6 Zchn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berschrift8Zchn" w:customStyle="1">
    <w:name w:val="Überschrift 8 Zchn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elZchn" w:customStyle="1">
    <w:name w:val="Titel Zchn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UntertitelZchn" w:customStyle="1">
    <w:name w:val="Untertitel Zchn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FunotentextZchn" w:customStyle="1">
    <w:name w:val="Fußnotentext Zchn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user" w:customStyle="1">
    <w:name w:val="Footnote Characters (user)"/>
    <w:basedOn w:val="DefaultParagraphFont"/>
    <w:uiPriority w:val="99"/>
    <w:semiHidden/>
    <w:unhideWhenUsed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ntextZchn" w:customStyle="1">
    <w:name w:val="Endnotentext Zchn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user" w:customStyle="1">
    <w:name w:val="Endnote Characters (user)"/>
    <w:basedOn w:val="DefaultParagraphFont"/>
    <w:uiPriority w:val="99"/>
    <w:semiHidden/>
    <w:unhideWhenUsed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8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KopfzeileZchn" w:customStyle="1">
    <w:name w:val="Kopfzeile Zchn"/>
    <w:basedOn w:val="DefaultParagraphFont"/>
    <w:link w:val="Header"/>
    <w:uiPriority w:val="99"/>
    <w:qFormat/>
    <w:rPr/>
  </w:style>
  <w:style w:type="character" w:styleId="FuzeileZchn" w:customStyle="1">
    <w:name w:val="Fußzeile Zchn"/>
    <w:basedOn w:val="DefaultParagraphFont"/>
    <w:link w:val="Footer"/>
    <w:uiPriority w:val="99"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elZchn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365F91"/>
    </w:rPr>
  </w:style>
  <w:style w:type="paragraph" w:styleId="NoSpacing">
    <w:name w:val="No Spacing"/>
    <w:basedOn w:val="Normal"/>
    <w:uiPriority w:val="1"/>
    <w:qFormat/>
    <w:pPr/>
    <w:rPr/>
  </w:style>
  <w:style w:type="paragraph" w:styleId="FootnoteText">
    <w:name w:val="footnote text"/>
    <w:basedOn w:val="Normal"/>
    <w:link w:val="FunotentextZchn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EndnotentextZchn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p1" w:customStyle="1">
    <w:name w:val="p1"/>
    <w:basedOn w:val="Normal"/>
    <w:qFormat/>
    <w:rsid w:val="00627d66"/>
    <w:pPr>
      <w:suppressAutoHyphens w:val="false"/>
    </w:pPr>
    <w:rPr>
      <w:rFonts w:ascii="Helvetica" w:hAnsi="Helvetica" w:eastAsia="Times New Roman" w:cs="Times New Roman"/>
      <w:color w:val="000000"/>
      <w:sz w:val="14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NormaleTabelle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LibreOffice/25.8.2.2$Linux_X86_64 LibreOffice_project/580$Build-2</Application>
  <AppVersion>15.0000</AppVersion>
  <Pages>2</Pages>
  <Words>177</Words>
  <Characters>1613</Characters>
  <CharactersWithSpaces>1721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2025-10-13T15:57:00Z</dcterms:created>
  <dc:creator>DyeNA Genetics</dc:creator>
  <dc:description/>
  <dc:language>en-US</dc:language>
  <cp:lastModifiedBy/>
  <dcterms:modified xsi:type="dcterms:W3CDTF">2025-10-21T11:40:11Z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