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/ Abwasserbetrieb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D241114004/MTr)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13.11.2024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2024-11-15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15.000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184.000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570.000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D241114004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