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B241031003.MT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AB-2410141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31.10.2024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29.10.2024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161,0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Microtrhix parvicella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</w:rPr>
              <w:t xml:space="preserve"> </w:t>
            </w:r>
          </w:p>
          <w:p w:rsidR="00E572C9" w:rsidRDefault="00E572C9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D241031003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Microtrhix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4,06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2,61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64,30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370.875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370.875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 Erstanalyse, somit kein Vergleich mit vorangegangenen Befunden möglich. Die Microthrix parvicella Gesamtzellzahl beträgt 4,06x10⁸/ml und die Lebendzellzahl 2,61 x10⁸/ml. Der prozentuale Anteil der Lebendzellzahl mit 64,3% deutet auf moderate Bedingungen für Microthrix hin.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KS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THB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04C6" w:rsidRDefault="006E04C6">
      <w:r>
        <w:separator/>
      </w:r>
    </w:p>
  </w:endnote>
  <w:endnote w:type="continuationSeparator" w:id="0">
    <w:p w:rsidR="006E04C6" w:rsidRDefault="006E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proofErr w:type="spellStart"/>
          <w:r>
            <w:rPr>
              <w:rFonts w:eastAsia="Arial" w:cs="Arial"/>
              <w:sz w:val="15"/>
              <w:szCs w:val="15"/>
              <w:lang w:val="en-US"/>
            </w:rPr>
            <w:t>USt-IdNr</w:t>
          </w:r>
          <w:proofErr w:type="spellEnd"/>
          <w:r>
            <w:rPr>
              <w:rFonts w:eastAsia="Arial" w:cs="Arial"/>
              <w:sz w:val="15"/>
              <w:szCs w:val="15"/>
              <w:lang w:val="en-US"/>
            </w:rPr>
            <w:t>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04C6" w:rsidRDefault="006E04C6">
      <w:r>
        <w:separator/>
      </w:r>
    </w:p>
  </w:footnote>
  <w:footnote w:type="continuationSeparator" w:id="0">
    <w:p w:rsidR="006E04C6" w:rsidRDefault="006E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:rsidR="00E572C9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C65FA7"/>
    <w:rsid w:val="00DD7BFF"/>
    <w:rsid w:val="00E5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8FB9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4</cp:revision>
  <dcterms:created xsi:type="dcterms:W3CDTF">2025-11-29T11:21:00Z</dcterms:created>
  <dcterms:modified xsi:type="dcterms:W3CDTF">2025-11-29T11:27:00Z</dcterms:modified>
  <dc:language>en-US</dc:language>
</cp:coreProperties>
</file>