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7D752" w14:textId="77777777" w:rsidR="002D1F7A" w:rsidRDefault="002D1F7A">
      <w:bookmarkStart w:id="0" w:name="OLE_LINK3"/>
      <w:bookmarkStart w:id="1" w:name="OLE_LINK2"/>
    </w:p>
    <w:p w14:paraId="056C3AF6" w14:textId="77777777" w:rsidR="002D1F7A" w:rsidRDefault="002D1F7A">
      <w:pPr>
        <w:rPr>
          <w:sz w:val="22"/>
          <w:szCs w:val="22"/>
        </w:rPr>
      </w:pPr>
    </w:p>
    <w:p w14:paraId="241E9E80" w14:textId="77777777" w:rsidR="002D1F7A" w:rsidRDefault="00000000"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  <w:fldChar w:fldCharType="separate"/>
      </w:r>
      <w:r>
        <w:t>STADT BAD KISSINGEN </w:t>
      </w:r>
    </w:p>
    <w:p w14:paraId="45B351A4" w14:textId="77777777" w:rsidR="002D1F7A" w:rsidRDefault="00000000">
      <w:r>
        <w:t>Im Lindes 11</w:t>
      </w:r>
    </w:p>
    <w:p w14:paraId="0B4FE2D0" w14:textId="77777777" w:rsidR="002D1F7A" w:rsidRDefault="002D1F7A">
      <w:pPr>
        <w:rPr>
          <w:highlight w:val="yellow"/>
        </w:rPr>
      </w:pPr>
    </w:p>
    <w:p w14:paraId="12BCFE10" w14:textId="77777777" w:rsidR="002D1F7A" w:rsidRDefault="00000000">
      <w:r>
        <w:t>97688  Bad Kissingen</w:t>
      </w:r>
    </w:p>
    <w:p w14:paraId="776B5DA3" w14:textId="77777777" w:rsidR="002D1F7A" w:rsidRDefault="002D1F7A"/>
    <w:p w14:paraId="6CF42E66" w14:textId="77777777" w:rsidR="002D1F7A" w:rsidRDefault="00000000"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</w:p>
    <w:p w14:paraId="6EA4E661" w14:textId="77777777" w:rsidR="002D1F7A" w:rsidRDefault="002D1F7A"/>
    <w:p w14:paraId="472703A9" w14:textId="77777777" w:rsidR="002D1F7A" w:rsidRDefault="002D1F7A"/>
    <w:p w14:paraId="3EC43DF1" w14:textId="77777777" w:rsidR="002D1F7A" w:rsidRDefault="00000000">
      <w:pPr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 w14:paraId="09890E56" w14:textId="77777777" w:rsidR="002D1F7A" w:rsidRDefault="002D1F7A">
      <w:pPr>
        <w:rPr>
          <w:b/>
          <w:color w:val="42A62A"/>
          <w:u w:val="single"/>
        </w:rPr>
      </w:pPr>
    </w:p>
    <w:p w14:paraId="69F7AD2A" w14:textId="77777777" w:rsidR="002D1F7A" w:rsidRDefault="002D1F7A">
      <w:pPr>
        <w:rPr>
          <w:b/>
          <w:color w:val="42A62A"/>
          <w:u w:val="single"/>
        </w:rPr>
      </w:pPr>
    </w:p>
    <w:p w14:paraId="5DBB1FBD" w14:textId="77777777" w:rsidR="002D1F7A" w:rsidRDefault="00000000">
      <w:pPr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  <w:fldChar w:fldCharType="separate"/>
      </w:r>
      <w:r>
        <w:rPr>
          <w:b/>
          <w:color w:val="3CA321"/>
          <w:u w:val="single"/>
        </w:rPr>
        <w:t>B241031003/MT</w:t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 w14:paraId="6EBD7CAF" w14:textId="77777777" w:rsidR="002D1F7A" w:rsidRDefault="00000000">
      <w:pPr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D241031003</w:t>
      </w:r>
    </w:p>
    <w:p w14:paraId="76653C68" w14:textId="77777777" w:rsidR="002D1F7A" w:rsidRDefault="002D1F7A">
      <w:pPr>
        <w:rPr>
          <w:b/>
          <w:color w:val="42A62A"/>
          <w:u w:val="single"/>
        </w:rPr>
      </w:pPr>
    </w:p>
    <w:p w14:paraId="24CB6548" w14:textId="77777777" w:rsidR="002D1F7A" w:rsidRDefault="002D1F7A"/>
    <w:p w14:paraId="29F94C9B" w14:textId="77777777" w:rsidR="002D1F7A" w:rsidRDefault="002D1F7A"/>
    <w:p w14:paraId="5BFC9ACB" w14:textId="77777777" w:rsidR="002D1F7A" w:rsidRDefault="00000000">
      <w:pPr>
        <w:rPr>
          <w:b/>
        </w:rPr>
      </w:pPr>
      <w:r>
        <w:rPr>
          <w:b/>
        </w:rPr>
        <w:t>Kunden- und Probenkennziffer:</w:t>
      </w:r>
    </w:p>
    <w:p w14:paraId="04CB3857" w14:textId="77777777" w:rsidR="002D1F7A" w:rsidRDefault="002D1F7A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 w:rsidR="002D1F7A" w14:paraId="3FB5A83C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3D05E0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17128E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491040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2FA390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A28ADA" w14:textId="77777777" w:rsidR="002D1F7A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Entwurf</w:t>
            </w:r>
          </w:p>
        </w:tc>
      </w:tr>
      <w:tr w:rsidR="002D1F7A" w14:paraId="16B462D8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03D3DF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E3F631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KA Bad Kissingen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688A05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83C1F3" w14:textId="77777777" w:rsidR="002D1F7A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31.10.2024</w:t>
            </w:r>
          </w:p>
        </w:tc>
      </w:tr>
      <w:tr w:rsidR="002D1F7A" w14:paraId="7B3FE8C6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40AA99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DD76EA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Belebungsbecken 1 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27C5D9" w14:textId="77777777" w:rsidR="002D1F7A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DE03AD" w14:textId="77777777" w:rsidR="002D1F7A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Belebtschlamm</w:t>
            </w:r>
          </w:p>
        </w:tc>
      </w:tr>
      <w:tr w:rsidR="002D1F7A" w14:paraId="1DA0BF81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1E778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A9C407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29.10.2024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D22DCB" w14:textId="77777777" w:rsidR="002D1F7A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3371C7" w14:textId="77777777" w:rsidR="002D1F7A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FM Al 70%/Fe 30%</w:t>
            </w:r>
          </w:p>
        </w:tc>
      </w:tr>
    </w:tbl>
    <w:p w14:paraId="3ADF7408" w14:textId="77777777" w:rsidR="002D1F7A" w:rsidRDefault="002D1F7A">
      <w:pPr>
        <w:rPr>
          <w:b/>
        </w:rPr>
      </w:pPr>
    </w:p>
    <w:p w14:paraId="29732B47" w14:textId="77777777" w:rsidR="002D1F7A" w:rsidRDefault="00000000">
      <w:pPr>
        <w:rPr>
          <w:b/>
        </w:rPr>
      </w:pPr>
      <w:r>
        <w:rPr>
          <w:b/>
        </w:rPr>
        <w:t>Kundenmessdaten (Probe):</w:t>
      </w:r>
    </w:p>
    <w:p w14:paraId="42500A80" w14:textId="77777777" w:rsidR="002D1F7A" w:rsidRDefault="002D1F7A"/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 w:rsidR="002D1F7A" w14:paraId="3DFE2F9F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AFA3D3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2C8887" w14:textId="77777777" w:rsidR="002D1F7A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7E89B2" w14:textId="77777777" w:rsidR="002D1F7A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7545A8" w14:textId="77777777" w:rsidR="002D1F7A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161,0</w:t>
            </w:r>
          </w:p>
        </w:tc>
      </w:tr>
      <w:tr w:rsidR="002D1F7A" w14:paraId="5A52ABCB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75CEB0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870D4E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2,80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163B3C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EB34BB" w14:textId="77777777" w:rsidR="002D1F7A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2D1F7A" w14:paraId="131FC825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957DFD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0F1FC9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4349CC" w14:textId="77777777" w:rsidR="002D1F7A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72E09D" w14:textId="77777777" w:rsidR="002D1F7A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2D1F7A" w14:paraId="4A655E4E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4DF681" w14:textId="77777777" w:rsidR="002D1F7A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(ml/l)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F67C24" w14:textId="77777777" w:rsidR="002D1F7A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0563A5" w14:textId="77777777" w:rsidR="002D1F7A" w:rsidRDefault="00000000">
            <w:pPr>
              <w:rPr>
                <w:sz w:val="20"/>
                <w:szCs w:val="20"/>
                <w:lang w:val="en-US"/>
              </w:rPr>
            </w:pPr>
            <w:bookmarkStart w:id="2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2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CC805E" w14:textId="77777777" w:rsidR="002D1F7A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</w:tbl>
    <w:p w14:paraId="2DDFAD1B" w14:textId="77777777" w:rsidR="002D1F7A" w:rsidRDefault="002D1F7A"/>
    <w:p w14:paraId="7900A552" w14:textId="77777777" w:rsidR="002D1F7A" w:rsidRDefault="00000000">
      <w:pPr>
        <w:rPr>
          <w:b/>
        </w:rPr>
      </w:pPr>
      <w:r>
        <w:rPr>
          <w:b/>
        </w:rPr>
        <w:t xml:space="preserve"> </w:t>
      </w:r>
    </w:p>
    <w:p w14:paraId="28D323B1" w14:textId="77777777" w:rsidR="002D1F7A" w:rsidRDefault="00000000">
      <w:pPr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14:paraId="470CFC2A" w14:textId="77777777" w:rsidR="002D1F7A" w:rsidRDefault="002D1F7A">
      <w:pPr>
        <w:rPr>
          <w:b/>
          <w:bCs/>
          <w:color w:val="7F7F7F" w:themeColor="text1" w:themeTint="80"/>
          <w:sz w:val="15"/>
          <w:szCs w:val="15"/>
        </w:rPr>
      </w:pPr>
    </w:p>
    <w:tbl>
      <w:tblPr>
        <w:tblStyle w:val="Tabellenraster"/>
        <w:tblW w:w="9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11"/>
        <w:gridCol w:w="7341"/>
      </w:tblGrid>
      <w:tr w:rsidR="00086387" w14:paraId="69DD4327" w14:textId="77777777" w:rsidTr="00E376B7">
        <w:tc>
          <w:tcPr>
            <w:tcW w:w="96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E999DE" w14:textId="65D2CADC" w:rsidR="00086387" w:rsidRPr="00086387" w:rsidRDefault="00086387" w:rsidP="00086387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  <w:r w:rsidRPr="00086387">
              <w:rPr>
                <w:rFonts w:eastAsia="Arial" w:cs="Arial"/>
                <w:color w:val="92D050"/>
                <w:sz w:val="16"/>
                <w:szCs w:val="16"/>
              </w:rPr>
              <w:t>In Grün ange</w:t>
            </w:r>
            <w:r>
              <w:rPr>
                <w:rFonts w:eastAsia="Arial" w:cs="Arial"/>
                <w:color w:val="92D050"/>
                <w:sz w:val="16"/>
                <w:szCs w:val="16"/>
              </w:rPr>
              <w:t>ge</w:t>
            </w:r>
            <w:r w:rsidRPr="00086387">
              <w:rPr>
                <w:rFonts w:eastAsia="Arial" w:cs="Arial"/>
                <w:color w:val="92D050"/>
                <w:sz w:val="16"/>
                <w:szCs w:val="16"/>
              </w:rPr>
              <w:t xml:space="preserve">bene Werte geben die Analysendaten für lebende/aktive Bakterienzellen an </w:t>
            </w:r>
          </w:p>
          <w:p w14:paraId="1C043E78" w14:textId="10C09CF0" w:rsidR="00086387" w:rsidRDefault="00086387" w:rsidP="00086387">
            <w:pPr>
              <w:tabs>
                <w:tab w:val="center" w:pos="1045"/>
              </w:tabs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</w:rPr>
              <w:t>Die Mengenangaben sind in 108 Bakterien/ml dargestellt. Die Mengenangabe 108 entspricht Einhundertmillionen, ein Wert z.B. von 4,5 x10</w:t>
            </w: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 pro ml entspricht Vierhundertfünfzigmillionen Bakterienzellen pro Milliliter.  </w:t>
            </w:r>
          </w:p>
        </w:tc>
      </w:tr>
    </w:tbl>
    <w:p w14:paraId="5F6D5328" w14:textId="77777777" w:rsidR="002D1F7A" w:rsidRDefault="002D1F7A"/>
    <w:p w14:paraId="001C030C" w14:textId="77777777" w:rsidR="002D1F7A" w:rsidRDefault="002D1F7A">
      <w:pPr>
        <w:rPr>
          <w:sz w:val="16"/>
        </w:rPr>
      </w:pPr>
    </w:p>
    <w:p w14:paraId="4DAD8AD9" w14:textId="77777777" w:rsidR="002D1F7A" w:rsidRDefault="002D1F7A">
      <w:pPr>
        <w:rPr>
          <w:sz w:val="16"/>
        </w:rPr>
      </w:pPr>
    </w:p>
    <w:p w14:paraId="15B4761C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723D8C7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5402482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8C55D60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569C1705" w14:textId="77777777" w:rsidR="002D1F7A" w:rsidRDefault="00000000">
      <w:pPr>
        <w:rPr>
          <w:b/>
          <w:sz w:val="28"/>
          <w:szCs w:val="28"/>
        </w:rPr>
      </w:pPr>
      <w:r>
        <w:br w:type="page"/>
      </w:r>
    </w:p>
    <w:p w14:paraId="3D2C1147" w14:textId="77777777" w:rsidR="002D1F7A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Ergebnisse:</w:t>
      </w:r>
    </w:p>
    <w:p w14:paraId="5E9FB14D" w14:textId="77777777" w:rsidR="002D1F7A" w:rsidRDefault="002D1F7A">
      <w:pPr>
        <w:rPr>
          <w:b/>
        </w:rPr>
      </w:pPr>
    </w:p>
    <w:tbl>
      <w:tblPr>
        <w:tblStyle w:val="Tabellenraster"/>
        <w:tblW w:w="95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2907"/>
        <w:gridCol w:w="2661"/>
        <w:gridCol w:w="1332"/>
      </w:tblGrid>
      <w:tr w:rsidR="009731CC" w14:paraId="002527A9" w14:textId="77777777">
        <w:trPr>
          <w:gridAfter w:val="2"/>
          <w:wAfter w:w="3993" w:type="dxa"/>
        </w:trPr>
        <w:tc>
          <w:tcPr>
            <w:tcW w:w="2655" w:type="dxa"/>
            <w:tcBorders>
              <w:top w:val="single" w:sz="4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14:paraId="2F61AF04" w14:textId="77777777" w:rsidR="009731CC" w:rsidRDefault="009731CC">
            <w:pPr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Probennummer:</w:t>
            </w:r>
          </w:p>
        </w:tc>
        <w:tc>
          <w:tcPr>
            <w:tcW w:w="2907" w:type="dxa"/>
            <w:tcBorders>
              <w:top w:val="single" w:sz="4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183F056" w14:textId="77777777" w:rsidR="009731CC" w:rsidRDefault="009731CC">
            <w:pPr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</w:rPr>
              <w:t>D241031003</w:t>
            </w:r>
          </w:p>
        </w:tc>
      </w:tr>
      <w:tr w:rsidR="002D1F7A" w14:paraId="1227B8A6" w14:textId="77777777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14:paraId="2C6F1FD0" w14:textId="77777777" w:rsidR="002D1F7A" w:rsidRDefault="00000000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90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E2448DA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 xml:space="preserve">Zellzahl gesamt </w:t>
            </w:r>
          </w:p>
          <w:p w14:paraId="110BB6B4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266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96CD343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Zellzahl lebend</w:t>
            </w:r>
          </w:p>
          <w:p w14:paraId="2EF169D6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E760EEE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% Lebend</w:t>
            </w:r>
          </w:p>
        </w:tc>
      </w:tr>
    </w:tbl>
    <w:p w14:paraId="5CE4A852" w14:textId="77777777" w:rsidR="002D1F7A" w:rsidRDefault="002D1F7A">
      <w:pPr>
        <w:rPr>
          <w:sz w:val="16"/>
          <w:szCs w:val="16"/>
        </w:rPr>
      </w:pPr>
    </w:p>
    <w:p w14:paraId="4B1A2A94" w14:textId="77777777" w:rsidR="002D1F7A" w:rsidRDefault="00000000">
      <w:pPr>
        <w:pStyle w:val="StandardWeb"/>
        <w:spacing w:before="280"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 Erstanalyse, somit kein Vergleich mit vorangegangenen Befunden möglich. Die Microthrix parvicella Gesamtzellzahl beträgt 4,06x10⁸/ml und die Lebendzellzahl 2,61 x10⁸/ml. Der prozentuale Anteil der Lebendzellzahl mit 64,3% deutet auf moderate Bedingungen für Microthrix hin. </w:t>
      </w:r>
    </w:p>
    <w:p w14:paraId="45E052F8" w14:textId="77777777" w:rsidR="002D1F7A" w:rsidRDefault="002D1F7A">
      <w:pPr>
        <w:rPr>
          <w:i/>
          <w:color w:val="7F7F7F" w:themeColor="text1" w:themeTint="80"/>
          <w:sz w:val="22"/>
          <w:szCs w:val="22"/>
        </w:rPr>
      </w:pPr>
    </w:p>
    <w:p w14:paraId="49DBE0D0" w14:textId="77777777" w:rsidR="002D1F7A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Dr. Thomas Benkert</w:t>
      </w:r>
      <w:r>
        <w:rPr>
          <w:sz w:val="22"/>
          <w:szCs w:val="22"/>
        </w:rPr>
        <w:tab/>
        <w:t xml:space="preserve"> </w:t>
      </w:r>
    </w:p>
    <w:p w14:paraId="134C7AE9" w14:textId="77777777" w:rsidR="002D1F7A" w:rsidRDefault="00000000">
      <w:r>
        <w:rPr>
          <w:sz w:val="22"/>
          <w:szCs w:val="22"/>
        </w:rPr>
        <w:t>Analysedaten geprüft von:  Dr. Thomas Benkert</w:t>
      </w:r>
      <w:r>
        <w:tab/>
        <w:t xml:space="preserve"> </w:t>
      </w:r>
      <w:bookmarkEnd w:id="0"/>
      <w:bookmarkEnd w:id="1"/>
    </w:p>
    <w:p w14:paraId="7813ECF8" w14:textId="77777777" w:rsidR="002D1F7A" w:rsidRDefault="002D1F7A">
      <w:pPr>
        <w:rPr>
          <w:sz w:val="22"/>
        </w:rPr>
      </w:pPr>
    </w:p>
    <w:p w14:paraId="2F76EC5E" w14:textId="77777777" w:rsidR="002D1F7A" w:rsidRDefault="002D1F7A">
      <w:pPr>
        <w:rPr>
          <w:sz w:val="22"/>
        </w:rPr>
      </w:pPr>
    </w:p>
    <w:p w14:paraId="005698CF" w14:textId="77777777" w:rsidR="002D1F7A" w:rsidRDefault="002D1F7A">
      <w:pPr>
        <w:rPr>
          <w:sz w:val="22"/>
        </w:rPr>
      </w:pPr>
    </w:p>
    <w:p w14:paraId="1530FBB1" w14:textId="77777777" w:rsidR="002D1F7A" w:rsidRDefault="00000000">
      <w:pPr>
        <w:pStyle w:val="berschrift1"/>
        <w:rPr>
          <w:sz w:val="22"/>
        </w:rPr>
      </w:pPr>
      <w:r>
        <w:rPr>
          <w:sz w:val="22"/>
        </w:rPr>
        <w:t>Anhang</w:t>
      </w:r>
    </w:p>
    <w:p w14:paraId="13347B83" w14:textId="77777777" w:rsidR="002D1F7A" w:rsidRDefault="00000000">
      <w:pPr>
        <w:rPr>
          <w:sz w:val="22"/>
          <w:szCs w:val="22"/>
        </w:rPr>
      </w:pPr>
      <w:r>
        <w:rPr>
          <w:sz w:val="22"/>
        </w:rPr>
        <w:t>${figGesamtLebend}</w:t>
      </w:r>
    </w:p>
    <w:p w14:paraId="5F731A00" w14:textId="77777777" w:rsidR="002D1F7A" w:rsidRDefault="00000000">
      <w:pPr>
        <w:rPr>
          <w:sz w:val="22"/>
          <w:szCs w:val="22"/>
        </w:rPr>
      </w:pPr>
      <w:r>
        <w:rPr>
          <w:sz w:val="22"/>
        </w:rPr>
        <w:t>${figLebendAktiv}</w:t>
      </w:r>
    </w:p>
    <w:p w14:paraId="5DB953FC" w14:textId="77777777" w:rsidR="002D1F7A" w:rsidRDefault="002D1F7A">
      <w:pPr>
        <w:rPr>
          <w:sz w:val="22"/>
          <w:lang w:val="en-US"/>
        </w:rPr>
      </w:pPr>
    </w:p>
    <w:sectPr w:rsidR="002D1F7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31" w:right="1134" w:bottom="1134" w:left="1361" w:header="708" w:footer="708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4853" w14:textId="77777777" w:rsidR="00234926" w:rsidRDefault="00234926">
      <w:r>
        <w:separator/>
      </w:r>
    </w:p>
  </w:endnote>
  <w:endnote w:type="continuationSeparator" w:id="0">
    <w:p w14:paraId="3229B800" w14:textId="77777777" w:rsidR="00234926" w:rsidRDefault="0023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405" w:type="dxa"/>
      <w:tblLayout w:type="fixed"/>
      <w:tblLook w:val="04A0" w:firstRow="1" w:lastRow="0" w:firstColumn="1" w:lastColumn="0" w:noHBand="0" w:noVBand="1"/>
    </w:tblPr>
    <w:tblGrid>
      <w:gridCol w:w="1214"/>
      <w:gridCol w:w="1425"/>
      <w:gridCol w:w="1071"/>
      <w:gridCol w:w="1379"/>
      <w:gridCol w:w="1944"/>
      <w:gridCol w:w="1070"/>
      <w:gridCol w:w="1302"/>
    </w:tblGrid>
    <w:tr w:rsidR="002D1F7A" w14:paraId="78104182" w14:textId="77777777"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14:paraId="3B8F2A10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425" w:type="dxa"/>
          <w:tcBorders>
            <w:top w:val="nil"/>
            <w:left w:val="nil"/>
            <w:bottom w:val="nil"/>
            <w:right w:val="nil"/>
          </w:tcBorders>
        </w:tcPr>
        <w:p w14:paraId="7E4D894A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1" w:type="dxa"/>
          <w:tcBorders>
            <w:top w:val="nil"/>
            <w:left w:val="nil"/>
            <w:bottom w:val="nil"/>
            <w:right w:val="nil"/>
          </w:tcBorders>
        </w:tcPr>
        <w:p w14:paraId="7F98E825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79" w:type="dxa"/>
          <w:tcBorders>
            <w:top w:val="nil"/>
            <w:left w:val="nil"/>
            <w:bottom w:val="nil"/>
            <w:right w:val="nil"/>
          </w:tcBorders>
        </w:tcPr>
        <w:p w14:paraId="280ED4D8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944" w:type="dxa"/>
          <w:tcBorders>
            <w:top w:val="nil"/>
            <w:left w:val="nil"/>
            <w:bottom w:val="nil"/>
            <w:right w:val="nil"/>
          </w:tcBorders>
        </w:tcPr>
        <w:p w14:paraId="5C08309E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0" w:type="dxa"/>
          <w:tcBorders>
            <w:top w:val="nil"/>
            <w:left w:val="nil"/>
            <w:bottom w:val="nil"/>
            <w:right w:val="nil"/>
          </w:tcBorders>
        </w:tcPr>
        <w:p w14:paraId="413E088C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02" w:type="dxa"/>
          <w:tcBorders>
            <w:top w:val="nil"/>
            <w:left w:val="nil"/>
            <w:bottom w:val="nil"/>
            <w:right w:val="nil"/>
          </w:tcBorders>
        </w:tcPr>
        <w:p w14:paraId="03DAB2F6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</w:tr>
    <w:tr w:rsidR="002D1F7A" w14:paraId="32618A4D" w14:textId="77777777"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14:paraId="22AE16A2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425" w:type="dxa"/>
          <w:tcBorders>
            <w:top w:val="nil"/>
            <w:left w:val="nil"/>
            <w:bottom w:val="nil"/>
            <w:right w:val="nil"/>
          </w:tcBorders>
        </w:tcPr>
        <w:p w14:paraId="0BA708D1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1" w:type="dxa"/>
          <w:tcBorders>
            <w:top w:val="nil"/>
            <w:left w:val="nil"/>
            <w:bottom w:val="nil"/>
            <w:right w:val="nil"/>
          </w:tcBorders>
        </w:tcPr>
        <w:p w14:paraId="2209E3BD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79" w:type="dxa"/>
          <w:tcBorders>
            <w:top w:val="nil"/>
            <w:left w:val="nil"/>
            <w:bottom w:val="nil"/>
            <w:right w:val="nil"/>
          </w:tcBorders>
        </w:tcPr>
        <w:p w14:paraId="70728AC5" w14:textId="77777777" w:rsidR="002D1F7A" w:rsidRDefault="002D1F7A">
          <w:pPr>
            <w:pStyle w:val="Fuzeile"/>
            <w:rPr>
              <w:sz w:val="12"/>
            </w:rPr>
          </w:pPr>
        </w:p>
      </w:tc>
      <w:tc>
        <w:tcPr>
          <w:tcW w:w="1944" w:type="dxa"/>
          <w:tcBorders>
            <w:top w:val="nil"/>
            <w:left w:val="nil"/>
            <w:bottom w:val="nil"/>
            <w:right w:val="nil"/>
          </w:tcBorders>
        </w:tcPr>
        <w:p w14:paraId="7542A1D9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0" w:type="dxa"/>
          <w:tcBorders>
            <w:top w:val="nil"/>
            <w:left w:val="nil"/>
            <w:bottom w:val="nil"/>
            <w:right w:val="nil"/>
          </w:tcBorders>
        </w:tcPr>
        <w:p w14:paraId="1847EC75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02" w:type="dxa"/>
          <w:tcBorders>
            <w:top w:val="nil"/>
            <w:left w:val="nil"/>
            <w:bottom w:val="nil"/>
            <w:right w:val="nil"/>
          </w:tcBorders>
        </w:tcPr>
        <w:p w14:paraId="1A470A44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</w:tr>
  </w:tbl>
  <w:p w14:paraId="63037D45" w14:textId="77777777" w:rsidR="002D1F7A" w:rsidRDefault="002D1F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2D1F7A" w14:paraId="75E57AC1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6122F6A3" w14:textId="77777777" w:rsidR="002D1F7A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</w:t>
          </w: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Genetics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GmbH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155CC606" w14:textId="77777777" w:rsidR="002D1F7A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2325A2DB" w14:textId="77777777" w:rsidR="002D1F7A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2D1F7A" w14:paraId="7BEDAA71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7FA33E16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proofErr w:type="spellStart"/>
          <w:r>
            <w:rPr>
              <w:rFonts w:eastAsia="Arial" w:cs="Arial"/>
              <w:sz w:val="15"/>
              <w:szCs w:val="15"/>
            </w:rPr>
            <w:t>Regnitzweg</w:t>
          </w:r>
          <w:proofErr w:type="spellEnd"/>
          <w:r>
            <w:rPr>
              <w:rFonts w:eastAsia="Arial" w:cs="Arial"/>
              <w:sz w:val="15"/>
              <w:szCs w:val="15"/>
            </w:rPr>
            <w:t xml:space="preserve">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3491DB7D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5A9E09E0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2D1F7A" w14:paraId="298CEF14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67B0A99C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7F67A98C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46E064EF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2D1F7A" w14:paraId="7E77A0BB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1EBCAC55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472BF918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USt-IdNr.: DE317729107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7CFFDABE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14:paraId="4E5E33EC" w14:textId="77777777" w:rsidR="002D1F7A" w:rsidRDefault="002D1F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AA65D" w14:textId="77777777" w:rsidR="00234926" w:rsidRDefault="00234926">
      <w:r>
        <w:separator/>
      </w:r>
    </w:p>
  </w:footnote>
  <w:footnote w:type="continuationSeparator" w:id="0">
    <w:p w14:paraId="136F959E" w14:textId="77777777" w:rsidR="00234926" w:rsidRDefault="00234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4426" w14:textId="77777777" w:rsidR="002D1F7A" w:rsidRDefault="00000000">
    <w:pPr>
      <w:pStyle w:val="Kopfzeile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805A6" w14:textId="77777777" w:rsidR="002D1F7A" w:rsidRDefault="00000000">
    <w:pPr>
      <w:pStyle w:val="Kopfzeile"/>
      <w:rPr>
        <w:color w:val="42A62A"/>
        <w:sz w:val="22"/>
      </w:rPr>
    </w:pPr>
    <w:r>
      <w:rPr>
        <w:noProof/>
      </w:rPr>
      <w:drawing>
        <wp:anchor distT="0" distB="0" distL="114300" distR="114300" simplePos="0" relativeHeight="5" behindDoc="0" locked="0" layoutInCell="0" allowOverlap="1" wp14:anchorId="4BC8617C" wp14:editId="6150A25E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36"/>
              <wp:lineTo x="1161" y="4685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18" y="16120"/>
              <wp:lineTo x="16829" y="14066"/>
              <wp:lineTo x="21466" y="12013"/>
              <wp:lineTo x="21466" y="5861"/>
              <wp:lineTo x="19731" y="5568"/>
              <wp:lineTo x="4837" y="4685"/>
              <wp:lineTo x="5609" y="2336"/>
              <wp:lineTo x="5027" y="1748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>
      <w:rPr>
        <w:color w:val="42A62A"/>
        <w:sz w:val="22"/>
      </w:rPr>
      <w:t>DyeNA</w:t>
    </w:r>
    <w:proofErr w:type="spellEnd"/>
    <w:r>
      <w:rPr>
        <w:color w:val="42A62A"/>
        <w:sz w:val="22"/>
      </w:rPr>
      <w:t xml:space="preserve"> </w:t>
    </w:r>
    <w:proofErr w:type="spellStart"/>
    <w:r>
      <w:rPr>
        <w:color w:val="42A62A"/>
        <w:sz w:val="22"/>
      </w:rPr>
      <w:t>Genetics</w:t>
    </w:r>
    <w:proofErr w:type="spellEnd"/>
    <w:r>
      <w:rPr>
        <w:color w:val="42A62A"/>
        <w:sz w:val="22"/>
      </w:rPr>
      <w:t xml:space="preserve"> GmbH</w:t>
    </w:r>
  </w:p>
  <w:p w14:paraId="183DA18D" w14:textId="77777777" w:rsidR="002D1F7A" w:rsidRDefault="00000000">
    <w:pPr>
      <w:pStyle w:val="Kopfzeile"/>
      <w:rPr>
        <w:color w:val="42A62A"/>
        <w:sz w:val="22"/>
      </w:rPr>
    </w:pPr>
    <w:proofErr w:type="spellStart"/>
    <w:r>
      <w:rPr>
        <w:color w:val="42A62A"/>
        <w:sz w:val="22"/>
      </w:rPr>
      <w:t>Regnitzweg</w:t>
    </w:r>
    <w:proofErr w:type="spellEnd"/>
    <w:r>
      <w:rPr>
        <w:color w:val="42A62A"/>
        <w:sz w:val="22"/>
      </w:rPr>
      <w:t xml:space="preserve"> 10</w:t>
    </w:r>
  </w:p>
  <w:p w14:paraId="0F6B5599" w14:textId="77777777" w:rsidR="002D1F7A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14:paraId="23BF8AFA" w14:textId="77777777" w:rsidR="002D1F7A" w:rsidRDefault="00000000">
    <w:pPr>
      <w:pStyle w:val="Kopfzeile"/>
    </w:pPr>
    <w:r>
      <w:rPr>
        <w:noProof/>
      </w:rPr>
      <mc:AlternateContent>
        <mc:Choice Requires="wps">
          <w:drawing>
            <wp:anchor distT="3175" distB="3810" distL="3810" distR="3175" simplePos="0" relativeHeight="2" behindDoc="1" locked="0" layoutInCell="0" allowOverlap="1" wp14:anchorId="6D71E58F" wp14:editId="458090FD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3810" distB="3810" distL="3810" distR="3175" simplePos="0" relativeHeight="3" behindDoc="1" locked="0" layoutInCell="0" allowOverlap="1" wp14:anchorId="7047256E" wp14:editId="7473DFE6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3175" distB="3810" distL="3175" distR="3175" simplePos="0" relativeHeight="4" behindDoc="1" locked="0" layoutInCell="0" allowOverlap="1" wp14:anchorId="1C616CF9" wp14:editId="609E4E05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F7A"/>
    <w:rsid w:val="00086387"/>
    <w:rsid w:val="00234926"/>
    <w:rsid w:val="002D1F7A"/>
    <w:rsid w:val="009731CC"/>
    <w:rsid w:val="00EE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F5F8"/>
  <w15:docId w15:val="{7C1F7BC2-C40B-4BF6-BE69-C36F63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 w:val="0"/>
    </w:p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bsatz-Standardschriftart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bsatz-Standardschriftar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qFormat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Standard"/>
    <w:qFormat/>
    <w:rPr>
      <w:rFonts w:ascii="Helvetica" w:eastAsia="Times New Roman" w:hAnsi="Helvetica" w:cs="Times New Roman"/>
      <w:color w:val="000000"/>
      <w:sz w:val="14"/>
      <w:szCs w:val="14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Schillinger, Rolf</cp:lastModifiedBy>
  <cp:revision>26</cp:revision>
  <dcterms:created xsi:type="dcterms:W3CDTF">2025-10-13T15:57:00Z</dcterms:created>
  <dcterms:modified xsi:type="dcterms:W3CDTF">2025-11-09T21:49:00Z</dcterms:modified>
  <dc:language>en-US</dc:language>
</cp:coreProperties>
</file>