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2"/>
      <w:bookmarkStart w:id="1" w:name="OLE_LINK3"/>
      <w:bookmarkStart w:id="2" w:name="OLE_LINK2"/>
      <w:bookmarkStart w:id="3" w:name="OLE_LINK3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${panel_type}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${result_nr}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7"/>
        <w:gridCol w:w="1913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31.10.2024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BB1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29.10.2024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Tabellenraster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3"/>
        <w:gridCol w:w="1483"/>
        <w:gridCol w:w="2574"/>
        <w:gridCol w:w="2978"/>
      </w:tblGrid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 w:ascii="Calibri" w:hAnsi="Calibri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Tabellenraster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  <w:highlight w:val="yellow"/>
        </w:rPr>
        <w:t>Die Mengenangaben sind in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1"/>
        <w:gridCol w:w="2019"/>
        <w:gridCol w:w="1843"/>
        <w:gridCol w:w="1277"/>
        <w:gridCol w:w="1559"/>
        <w:gridCol w:w="1526"/>
      </w:tblGrid>
      <w:tr>
        <w:trPr/>
        <w:tc>
          <w:tcPr>
            <w:tcW w:w="1841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019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D241031003</w:t>
            </w:r>
          </w:p>
        </w:tc>
        <w:tc>
          <w:tcPr>
            <w:tcW w:w="1843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277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5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2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p1"/>
              <w:widowControl/>
              <w:spacing w:before="0" w:after="0"/>
              <w:jc w:val="center"/>
              <w:rPr>
                <w:kern w:val="0"/>
                <w:lang w:val="de-DE" w:eastAsia="de-DE" w:bidi="ar-SA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Nitrotoga/NOB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AOB/NOB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enraster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Erstanalyse, somit kein Vergleich mit vorangegangenen Befunden möglich. Die Microthrix parvicella Gesamtzellzahl beträgt 4,06x108/ml und die Lebendzellzahl 2,61 x108/ml. Der prozentuale Anteil der Lebendzellzahl mit 64,3% deutet auf moderate Bedingungen für Microthrix hin.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2"/>
              <wp:lineTo x="1161" y="4686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2" y="16120"/>
              <wp:lineTo x="16829" y="14067"/>
              <wp:lineTo x="21472" y="12013"/>
              <wp:lineTo x="21472" y="5861"/>
              <wp:lineTo x="19731" y="5568"/>
              <wp:lineTo x="4837" y="4686"/>
              <wp:lineTo x="5609" y="2342"/>
              <wp:lineTo x="5028" y="1755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22860" distB="63500" distL="43815" distR="4381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3495" distB="64135" distL="43815" distR="4381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2860" distB="63500" distL="43180" distR="4381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 w:customStyle="1">
    <w:name w:val="Foot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 w:customStyle="1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rsid w:val="00627d66"/>
    <w:pPr>
      <w:suppressAutoHyphens w:val="false"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LibreOffice/25.8.2.2$Linux_X86_64 LibreOffice_project/580$Build-2</Application>
  <AppVersion>15.0000</AppVersion>
  <Pages>2</Pages>
  <Words>177</Words>
  <Characters>1613</Characters>
  <CharactersWithSpaces>1721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2025-10-21T11:40:11Z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