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274F7D7E" w:rsidR="002D1F7A" w:rsidRDefault="00000000">
      <w:r>
        <w:t>LINEG</w:t>
      </w:r>
    </w:p>
    <w:p w14:paraId="45B351A4" w14:textId="77777777" w:rsidR="002D1F7A" w:rsidRDefault="00000000">
      <w:r>
        <w:t>Friedrich-Heinrich-Allee 64</w:t>
      </w:r>
    </w:p>
    <w:p w14:paraId="0B4FE2D0" w14:textId="77777777" w:rsidR="002D1F7A" w:rsidRDefault="002D1F7A">
      <w:pPr>
        <w:rPr>
          <w:highlight w:val="yellow"/>
        </w:rPr>
      </w:pPr>
    </w:p>
    <w:p w14:paraId="12BCFE10" w14:textId="77777777" w:rsidR="002D1F7A" w:rsidRDefault="00000000">
      <w:r>
        <w:t>47475 Kamp-Lintfort</w:t>
      </w:r>
    </w:p>
    <w:p w14:paraId="776B5DA3" w14:textId="77777777" w:rsidR="002D1F7A" w:rsidRDefault="002D1F7A"/>
    <w:p w14:paraId="6CF42E66" w14:textId="28DC5256" w:rsidR="002D1F7A" w:rsidRDefault="002D1F7A"/>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w:t>
      </w:r>
      <w:r w:rsidRPr="006E0E64">
        <w:rPr>
          <w:b/>
          <w:color w:val="3CA321"/>
          <w:sz w:val="28"/>
          <w:szCs w:val="28"/>
          <w:u w:val="single"/>
        </w:rPr>
        <w:t>fizie</w:t>
      </w:r>
      <w:r>
        <w:rPr>
          <w:b/>
          <w:color w:val="42A62A"/>
          <w:sz w:val="28"/>
          <w:szCs w:val="28"/>
          <w:u w:val="single"/>
        </w:rPr>
        <w:t>rung</w:t>
      </w:r>
      <w:r w:rsidRPr="006E0E64">
        <w:rPr>
          <w:b/>
          <w:color w:val="3CA321"/>
          <w:sz w:val="28"/>
          <w:szCs w:val="28"/>
          <w:u w:val="single"/>
        </w:rPr>
        <w:t xml:space="preserve"> </w:t>
      </w:r>
      <w:r>
        <w:rPr>
          <w:b/>
          <w:color w:val="42A62A"/>
          <w:sz w:val="28"/>
          <w:szCs w:val="28"/>
          <w:u w:val="single"/>
        </w:rPr>
        <w:t>Nitrifikanten</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654D80C3" w:rsidR="002D1F7A" w:rsidRDefault="00000000">
      <w:pPr>
        <w:rPr>
          <w:b/>
          <w:color w:val="42A62A"/>
        </w:rPr>
      </w:pPr>
      <w:r>
        <w:rPr>
          <w:b/>
        </w:rPr>
        <w:t>Befundnummer:</w:t>
      </w:r>
      <w:r>
        <w:rPr>
          <w:b/>
          <w:color w:val="3CA321"/>
        </w:rPr>
        <w:t xml:space="preserve"> </w:t>
      </w:r>
      <w:r>
        <w:rPr>
          <w:b/>
          <w:color w:val="3CA321"/>
          <w:u w:val="single"/>
        </w:rPr>
        <w:t>B250904007.NT</w:t>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D250904007</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002</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Kläranlage Kamp-Lintfort</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05.09.2025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SLB Combibecken</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03.09.2025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22,1</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112,0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5,42</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0,039</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0,190</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630,0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2,800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GZ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 NIT Gesamtzellzahl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LZ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Nitrotoga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Gatttung Nitrotoga spp.</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62293EDA" w14:textId="77777777" w:rsidR="00E20BF6" w:rsidRDefault="00E20BF6" w:rsidP="00086387">
            <w:pPr>
              <w:tabs>
                <w:tab w:val="center" w:pos="1045"/>
              </w:tabs>
              <w:rPr>
                <w:rFonts w:eastAsia="Arial" w:cs="Arial"/>
                <w:color w:val="92D050"/>
                <w:sz w:val="16"/>
                <w:szCs w:val="16"/>
              </w:rPr>
            </w:pPr>
          </w:p>
          <w:p w14:paraId="04E999DE" w14:textId="495522EA" w:rsidR="00086387" w:rsidRPr="007E541B" w:rsidRDefault="00086387" w:rsidP="00086387">
            <w:pPr>
              <w:tabs>
                <w:tab w:val="center" w:pos="1045"/>
              </w:tabs>
              <w:rPr>
                <w:rFonts w:eastAsia="Arial" w:cs="Arial"/>
                <w:b/>
                <w:bCs/>
                <w:color w:val="3CA321"/>
                <w:sz w:val="16"/>
                <w:szCs w:val="16"/>
              </w:rPr>
            </w:pPr>
            <w:r w:rsidRPr="007E541B">
              <w:rPr>
                <w:rFonts w:eastAsia="Arial" w:cs="Arial"/>
                <w:b/>
                <w:bCs/>
                <w:color w:val="3CA321"/>
                <w:sz w:val="16"/>
                <w:szCs w:val="16"/>
              </w:rPr>
              <w:t xml:space="preserve">In Grün angegebene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1006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1842"/>
        <w:gridCol w:w="2019"/>
        <w:gridCol w:w="1843"/>
        <w:gridCol w:w="1276"/>
        <w:gridCol w:w="1559"/>
        <w:gridCol w:w="1526"/>
      </w:tblGrid>
      <w:tr w:rsidR="00D772EB" w14:paraId="6540F87B" w14:textId="77777777" w:rsidTr="0030702F">
        <w:trPr>
          <w:gridAfter w:val="2"/>
          <w:wAfter w:w="3085" w:type="dxa"/>
        </w:trPr>
        <w:tc>
          <w:tcPr>
            <w:tcW w:w="1842" w:type="dxa"/>
          </w:tcPr>
          <w:p w14:paraId="7980829E" w14:textId="77777777" w:rsidR="00D772EB" w:rsidRDefault="00D772EB" w:rsidP="0030702F">
            <w:pPr>
              <w:rPr>
                <w:b/>
                <w:bCs/>
              </w:rPr>
            </w:pPr>
            <w:r>
              <w:rPr>
                <w:rFonts w:eastAsia="Arial" w:cs="Arial"/>
                <w:b/>
                <w:bCs/>
                <w:sz w:val="20"/>
                <w:szCs w:val="20"/>
              </w:rPr>
              <w:t>Probennummer:</w:t>
            </w:r>
          </w:p>
        </w:tc>
        <w:tc>
          <w:tcPr>
            <w:tcW w:w="2019" w:type="dxa"/>
            <w:tcBorders>
              <w:bottom w:val="single" w:sz="6" w:space="0" w:color="7F7F7F" w:themeColor="text1" w:themeTint="80"/>
            </w:tcBorders>
          </w:tcPr>
          <w:p w14:paraId="521FE43A" w14:textId="77777777" w:rsidR="00D772EB" w:rsidRDefault="00D772EB" w:rsidP="0030702F">
            <w:pPr>
              <w:rPr>
                <w:b/>
                <w:bCs/>
                <w:color w:val="42A62A"/>
                <w:sz w:val="20"/>
                <w:szCs w:val="20"/>
              </w:rPr>
            </w:pPr>
            <w:r>
              <w:rPr>
                <w:rFonts w:eastAsia="Arial" w:cs="Arial"/>
                <w:b/>
                <w:bCs/>
                <w:color w:val="42A62A"/>
                <w:sz w:val="20"/>
                <w:szCs w:val="20"/>
              </w:rPr>
              <w:t>D250904007</w:t>
            </w:r>
          </w:p>
        </w:tc>
        <w:tc>
          <w:tcPr>
            <w:tcW w:w="1843" w:type="dxa"/>
            <w:tcBorders>
              <w:top w:val="nil"/>
              <w:bottom w:val="single" w:sz="6" w:space="0" w:color="7F7F7F" w:themeColor="text1" w:themeTint="80"/>
              <w:right w:val="nil"/>
            </w:tcBorders>
          </w:tcPr>
          <w:p w14:paraId="2C837670" w14:textId="77777777" w:rsidR="00D772EB" w:rsidRDefault="00D772EB" w:rsidP="0030702F">
            <w:pPr>
              <w:rPr>
                <w:rFonts w:ascii="Calibri" w:eastAsia="Arial" w:hAnsi="Calibri" w:cs="Arial"/>
              </w:rPr>
            </w:pPr>
          </w:p>
        </w:tc>
        <w:tc>
          <w:tcPr>
            <w:tcW w:w="1276" w:type="dxa"/>
            <w:tcBorders>
              <w:top w:val="nil"/>
              <w:left w:val="nil"/>
              <w:bottom w:val="single" w:sz="6" w:space="0" w:color="7F7F7F" w:themeColor="text1" w:themeTint="80"/>
              <w:right w:val="nil"/>
            </w:tcBorders>
          </w:tcPr>
          <w:p w14:paraId="4A6379B5" w14:textId="77777777" w:rsidR="00D772EB" w:rsidRDefault="00D772EB" w:rsidP="0030702F">
            <w:pPr>
              <w:rPr>
                <w:rFonts w:ascii="Calibri" w:eastAsia="Arial" w:hAnsi="Calibri" w:cs="Arial"/>
              </w:rPr>
            </w:pPr>
          </w:p>
        </w:tc>
      </w:tr>
      <w:tr w:rsidR="00D772EB" w14:paraId="3C980533" w14:textId="77777777" w:rsidTr="0030702F">
        <w:tc>
          <w:tcPr>
            <w:tcW w:w="1842" w:type="dxa"/>
          </w:tcPr>
          <w:p w14:paraId="08897DD3" w14:textId="77777777" w:rsidR="00D772EB" w:rsidRDefault="00D772EB" w:rsidP="0030702F">
            <w:pPr>
              <w:rPr>
                <w:b/>
                <w:sz w:val="18"/>
                <w:szCs w:val="18"/>
              </w:rPr>
            </w:pPr>
            <w:r>
              <w:rPr>
                <w:rFonts w:eastAsia="Arial" w:cs="Arial"/>
                <w:b/>
                <w:sz w:val="18"/>
                <w:szCs w:val="18"/>
              </w:rPr>
              <w:t>Bakteriengruppe</w:t>
            </w:r>
          </w:p>
        </w:tc>
        <w:tc>
          <w:tcPr>
            <w:tcW w:w="2019" w:type="dxa"/>
            <w:tcBorders>
              <w:top w:val="single" w:sz="6" w:space="0" w:color="7F7F7F" w:themeColor="text1" w:themeTint="80"/>
            </w:tcBorders>
          </w:tcPr>
          <w:p w14:paraId="1DACB3CA" w14:textId="77777777" w:rsidR="00D772EB" w:rsidRDefault="00D772EB" w:rsidP="0030702F">
            <w:pPr>
              <w:jc w:val="center"/>
              <w:rPr>
                <w:b/>
                <w:sz w:val="18"/>
                <w:szCs w:val="18"/>
              </w:rPr>
            </w:pPr>
            <w:r>
              <w:rPr>
                <w:rFonts w:eastAsia="Arial" w:cs="Arial"/>
                <w:b/>
                <w:sz w:val="18"/>
                <w:szCs w:val="18"/>
              </w:rPr>
              <w:t xml:space="preserve">Zellzahl gesamt </w:t>
            </w:r>
          </w:p>
          <w:p w14:paraId="0579FF57"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843" w:type="dxa"/>
            <w:tcBorders>
              <w:top w:val="single" w:sz="6" w:space="0" w:color="7F7F7F" w:themeColor="text1" w:themeTint="80"/>
            </w:tcBorders>
          </w:tcPr>
          <w:p w14:paraId="34454D80" w14:textId="77777777" w:rsidR="00D772EB" w:rsidRDefault="00D772EB" w:rsidP="0030702F">
            <w:pPr>
              <w:jc w:val="center"/>
              <w:rPr>
                <w:b/>
                <w:sz w:val="18"/>
                <w:szCs w:val="18"/>
              </w:rPr>
            </w:pPr>
            <w:r>
              <w:rPr>
                <w:rFonts w:eastAsia="Arial" w:cs="Arial"/>
                <w:b/>
                <w:sz w:val="18"/>
                <w:szCs w:val="18"/>
              </w:rPr>
              <w:t>Zellzahl lebend</w:t>
            </w:r>
          </w:p>
          <w:p w14:paraId="61BAF75F"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276" w:type="dxa"/>
            <w:tcBorders>
              <w:top w:val="single" w:sz="6" w:space="0" w:color="7F7F7F" w:themeColor="text1" w:themeTint="80"/>
            </w:tcBorders>
          </w:tcPr>
          <w:p w14:paraId="5CB0E97A" w14:textId="77777777" w:rsidR="00D772EB" w:rsidRDefault="00D772EB" w:rsidP="0030702F">
            <w:pPr>
              <w:jc w:val="center"/>
              <w:rPr>
                <w:b/>
                <w:sz w:val="18"/>
                <w:szCs w:val="18"/>
              </w:rPr>
            </w:pPr>
            <w:r>
              <w:rPr>
                <w:rFonts w:eastAsia="Arial" w:cs="Arial"/>
                <w:b/>
                <w:sz w:val="18"/>
                <w:szCs w:val="18"/>
              </w:rPr>
              <w:t>% Lebend</w:t>
            </w:r>
          </w:p>
        </w:tc>
        <w:tc>
          <w:tcPr>
            <w:tcW w:w="1559" w:type="dxa"/>
          </w:tcPr>
          <w:p w14:paraId="09F9D1BA"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4FEF8F55" w14:textId="77777777" w:rsidR="00D772EB" w:rsidRPr="00627D66" w:rsidRDefault="00D772EB" w:rsidP="0030702F">
            <w:pPr>
              <w:pStyle w:val="p1"/>
              <w:jc w:val="center"/>
            </w:pPr>
            <w:r w:rsidRPr="00627D66">
              <w:rPr>
                <w:rFonts w:ascii="Calibri" w:hAnsi="Calibri" w:cs="Calibri"/>
                <w:b/>
                <w:bCs/>
                <w:sz w:val="18"/>
                <w:szCs w:val="18"/>
              </w:rPr>
              <w:t>Nitrotoga/NOB</w:t>
            </w:r>
          </w:p>
        </w:tc>
        <w:tc>
          <w:tcPr>
            <w:tcW w:w="1526" w:type="dxa"/>
          </w:tcPr>
          <w:p w14:paraId="345A83A6"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0F7953FF" w14:textId="77777777" w:rsidR="00D772EB" w:rsidRDefault="00D772EB" w:rsidP="0030702F">
            <w:pPr>
              <w:jc w:val="center"/>
              <w:rPr>
                <w:b/>
                <w:sz w:val="18"/>
                <w:szCs w:val="18"/>
              </w:rPr>
            </w:pPr>
            <w:r>
              <w:rPr>
                <w:rFonts w:ascii="Calibri" w:hAnsi="Calibri" w:cs="Calibri"/>
                <w:b/>
                <w:bCs/>
                <w:sz w:val="18"/>
                <w:szCs w:val="18"/>
              </w:rPr>
              <w:t>AOB</w:t>
            </w:r>
            <w:r w:rsidRPr="00627D66">
              <w:rPr>
                <w:rFonts w:ascii="Calibri" w:hAnsi="Calibri" w:cs="Calibri"/>
                <w:b/>
                <w:bCs/>
                <w:sz w:val="18"/>
                <w:szCs w:val="18"/>
              </w:rPr>
              <w:t>/NOB</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9,03</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11,34</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125,60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${r_value#1}</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${r_value#1}</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21,25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21,12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99,40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${r_value#2}</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${r_value#2}</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9,03</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11,34</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125,60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${r_value#3}</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${r_value#3}</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21,25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21,12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99,40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${r_value#4}</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${r_value#4}</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Nitrotoga</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0,66</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0,72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109,00</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${r_value#5}</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${r_value#5}</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GZ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2234108.678</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${r_value#6}</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${r_value#6}</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LZ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2226268.878</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36E33AE0" w:rsidR="00D772EB" w:rsidRPr="00353269" w:rsidRDefault="0012747C" w:rsidP="0030702F">
            <w:pPr>
              <w:jc w:val="center"/>
              <w:rPr>
                <w:sz w:val="20"/>
                <w:szCs w:val="20"/>
              </w:rPr>
            </w:pPr>
            <w:r w:rsidRPr="00353269">
              <w:rPr>
                <w:rFonts w:eastAsia="Arial" w:cs="Arial"/>
                <w:sz w:val="20"/>
                <w:szCs w:val="20"/>
              </w:rPr>
              <w:t>${r_value#7}</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${r_value#7}</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w:t>
            </w:r>
          </w:p>
        </w:tc>
        <w:tc>
          <w:tcPr>
            <w:tcW w:w="1559" w:type="dxa"/>
          </w:tcPr>
          <w:p w14:paraId="2B0126B6" w14:textId="0A63AE82" w:rsidR="00D772EB" w:rsidRPr="00353269" w:rsidRDefault="0012747C" w:rsidP="0030702F">
            <w:pPr>
              <w:jc w:val="center"/>
              <w:rPr>
                <w:sz w:val="20"/>
                <w:szCs w:val="20"/>
              </w:rPr>
            </w:pPr>
            <w:r w:rsidRPr="00353269">
              <w:rPr>
                <w:rFonts w:eastAsia="Arial" w:cs="Arial"/>
                <w:color w:val="3CA321"/>
                <w:sz w:val="20"/>
                <w:szCs w:val="20"/>
              </w:rPr>
              <w:t>${r_value}</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${r_value}</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zur letzten Analyse zeigen AOB und NOB deutlich erhöhte Gesamt- und Lebendzellzahlen bei unveränderter Trockensubstanz (TS). Der zuvor beobachtete Rückgang der Nitrifikanten war somit – wie vermutet – auf eine Schwankung in der Biomasse zurückzuführen. Während die AOB im Vergleich zur Probe vom 22.08.2025 rückläufige Zellzahlen aufweisen, sind die NOB deutlich angestiegen. Nitrotoga ist hingegen stark reduziert, was auf eine Verdrängung durch die NOB hindeutet. Die Ergebnisse zeigen eine leicht verringerte Ammoniumoxidationskapazität, die jedoch ausreicht, um die Ammoniumfracht fast vollständigabzubauen, wie der gesunkene Ablaufwert bestätigt. Der reduzierte Nitritwert belegt die gesteigerte Nitritoxidationskapazität infolge höherer NOB-Zellzahlen. Der Anteil lebender Zellen ist bei den AOB stabil, bei den NOB jedoch gestiegen, was auf günstigere Lebensbedingungen für NOB schließen lässt. Das erhöhte Verhältnis von NOB zu AOB bestätigt die weitere Etablierung der NOB. Die Werte liegen laut Literaturangaben(Ratio (Literatur) NOB/AOB 0,3 - 5,9) im normalen Bereich für einen stabilen Nitrifikationsprozess.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KS</w:t>
      </w:r>
      <w:r>
        <w:rPr>
          <w:sz w:val="22"/>
          <w:szCs w:val="22"/>
        </w:rPr>
        <w:tab/>
        <w:t xml:space="preserve"> </w:t>
      </w:r>
    </w:p>
    <w:p w14:paraId="134C7AE9" w14:textId="77777777" w:rsidR="002D1F7A" w:rsidRDefault="00000000">
      <w:r>
        <w:rPr>
          <w:sz w:val="22"/>
          <w:szCs w:val="22"/>
        </w:rPr>
        <w:t>Analysedaten geprüft von:  THB</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Pr="0012747C" w:rsidRDefault="002D1F7A">
      <w:pPr>
        <w:rPr>
          <w:sz w:val="22"/>
        </w:rPr>
      </w:pPr>
    </w:p>
    <w:sectPr w:rsidR="002D1F7A" w:rsidRPr="0012747C">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215D" w14:textId="77777777" w:rsidR="00D43FF4" w:rsidRDefault="00D43FF4">
      <w:r>
        <w:separator/>
      </w:r>
    </w:p>
  </w:endnote>
  <w:endnote w:type="continuationSeparator" w:id="0">
    <w:p w14:paraId="791BAB24" w14:textId="77777777" w:rsidR="00D43FF4" w:rsidRDefault="00D4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3C22" w14:textId="77777777" w:rsidR="00D43FF4" w:rsidRDefault="00D43FF4">
      <w:r>
        <w:separator/>
      </w:r>
    </w:p>
  </w:footnote>
  <w:footnote w:type="continuationSeparator" w:id="0">
    <w:p w14:paraId="4CA97E29" w14:textId="77777777" w:rsidR="00D43FF4" w:rsidRDefault="00D4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w16du="http://schemas.microsoft.com/office/word/2023/wordml/word16du" xmlns:w16sdtfl="http://schemas.microsoft.com/office/word/2024/wordml/sdtformatlo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543C3"/>
    <w:rsid w:val="00086387"/>
    <w:rsid w:val="0012747C"/>
    <w:rsid w:val="001732ED"/>
    <w:rsid w:val="00234926"/>
    <w:rsid w:val="002D1F7A"/>
    <w:rsid w:val="0045011D"/>
    <w:rsid w:val="00561DAB"/>
    <w:rsid w:val="006E0E64"/>
    <w:rsid w:val="00762025"/>
    <w:rsid w:val="007E541B"/>
    <w:rsid w:val="00940374"/>
    <w:rsid w:val="009731CC"/>
    <w:rsid w:val="009D4849"/>
    <w:rsid w:val="00A53D92"/>
    <w:rsid w:val="00CE13E2"/>
    <w:rsid w:val="00D43FF4"/>
    <w:rsid w:val="00D772EB"/>
    <w:rsid w:val="00E20BF6"/>
    <w:rsid w:val="00E33EDB"/>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3</cp:revision>
  <dcterms:created xsi:type="dcterms:W3CDTF">2025-11-16T21:22:00Z</dcterms:created>
  <dcterms:modified xsi:type="dcterms:W3CDTF">2025-11-16T21:22:00Z</dcterms:modified>
  <dc:language>en-US</dc:language>
</cp:coreProperties>
</file>